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87dba6d3d4b58" /></Relationships>
</file>

<file path=word/document.xml><?xml version="1.0" encoding="utf-8"?>
<w:document xmlns:w="http://schemas.openxmlformats.org/wordprocessingml/2006/main">
  <w:body>
    <w:p>
      <w:r>
        <w:t>S-0757.5</w:t>
      </w:r>
    </w:p>
    <w:p>
      <w:pPr>
        <w:jc w:val="center"/>
      </w:pPr>
      <w:r>
        <w:t>_______________________________________________</w:t>
      </w:r>
    </w:p>
    <w:p/>
    <w:p>
      <w:pPr>
        <w:jc w:val="center"/>
      </w:pPr>
      <w:r>
        <w:rPr>
          <w:b/>
        </w:rPr>
        <w:t>SUBSTITUTE SENATE BILL 5160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Kuderer, Liias, Conway, Das, Lovelett, Saldaña, and Wilson, C.)</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and after public health emergencies, providing for legal representation in eviction cases, establishing an eviction resolution pilot program for nonpayment of rent cases, and authorizing landlord access to state rental assistance programs; amending RCW 43.31.615, 59.18.057, 59.18.365, 36.18.020, 59.12.040, 59.18.410, 59.20.040, and 59.18.367; reenacting and amending RCW 43.31.605, 36.18.012, and 59.18.230; adding new sections to chapter 59.18 RCW; adding a new section to chapter 2.53 RCW; adding a new section to chapter 43.185C RCW; creating new sections; repealing RCW 59.18.080, 59.18.375, and 59.20.310;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both during and after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4, and 7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(4)(a)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(b) "Public health emergency" also refers to any emergency need for health care services to respond to a catastrophic disaster, a significant outbreak of an infectious disease, a bioterrorist attack or other catastrophic event, and the governor of the state of Washington has restricted the free and uninhibited movement of persons in the state, including any mandatory reduction in business service capacity or hours of operation resulting in a loss of employment or significantly reduced work hours for employees.</w:t>
      </w:r>
    </w:p>
    <w:p>
      <w:pPr>
        <w:spacing w:before="0" w:after="0" w:line="408" w:lineRule="exact"/>
        <w:ind w:left="0" w:right="0" w:firstLine="576"/>
        <w:jc w:val="left"/>
      </w:pPr>
      <w:r>
        <w:rPr/>
        <w:t xml:space="preserve">(5) "Rent" has the same meaning as defined in RCW 59.18.030.</w:t>
      </w:r>
    </w:p>
    <w:p>
      <w:pPr>
        <w:spacing w:before="0" w:after="0" w:line="408" w:lineRule="exact"/>
        <w:ind w:left="0" w:right="0" w:firstLine="576"/>
        <w:jc w:val="left"/>
      </w:pPr>
      <w:r>
        <w:rPr/>
        <w:t xml:space="preserve">(6) "Reprisal or retaliatory action" has the same meaning as defined in RCW 59.18.240.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more than 14 days. "Tenant"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Until two years after expiration of any public health emergency, a landlord may not terminate a tenancy or refuse to renew a rental agreement pursuant to RCW 59.12.030 (1) or (2), 59.18.200(1)(a), or 59.18.220(1) unless:</w:t>
      </w:r>
    </w:p>
    <w:p>
      <w:pPr>
        <w:spacing w:before="0" w:after="0" w:line="408" w:lineRule="exact"/>
        <w:ind w:left="0" w:right="0" w:firstLine="576"/>
        <w:jc w:val="left"/>
      </w:pPr>
      <w:r>
        <w:rPr/>
        <w:t xml:space="preserve">(i) The landlord intends to sell the rental dwelling unit or the property on which the rental dwelling sits or intends to occupy the rental dwelling unit as their primary residence; or</w:t>
      </w:r>
    </w:p>
    <w:p>
      <w:pPr>
        <w:spacing w:before="0" w:after="0" w:line="408" w:lineRule="exact"/>
        <w:ind w:left="0" w:right="0" w:firstLine="576"/>
        <w:jc w:val="left"/>
      </w:pPr>
      <w:r>
        <w:rPr/>
        <w:t xml:space="preserve">(ii) The landlord and tenant reside in the same dwelling unit.</w:t>
      </w:r>
    </w:p>
    <w:p>
      <w:pPr>
        <w:spacing w:before="0" w:after="0" w:line="408" w:lineRule="exact"/>
        <w:ind w:left="0" w:right="0" w:firstLine="576"/>
        <w:jc w:val="left"/>
      </w:pPr>
      <w:r>
        <w:rPr/>
        <w:t xml:space="preserve">(b) When the landlord seeks to terminate a tenancy or refuse to renew a rental agreement as allowed under (a)(i) of this subsection, the landlord must provide at least 60 days' notice to the tenant in the form of an affidavit signed under penalty of perjury.</w:t>
      </w:r>
    </w:p>
    <w:p>
      <w:pPr>
        <w:spacing w:before="0" w:after="0" w:line="408" w:lineRule="exact"/>
        <w:ind w:left="0" w:right="0" w:firstLine="576"/>
        <w:jc w:val="left"/>
      </w:pPr>
      <w:r>
        <w:rPr/>
        <w:t xml:space="preserve">(c) Nothing in this subsection (1) precludes or prohibits a landlord from filing an unlawful detainer action as otherwise authorized under RCW 59.12.030 including, but not limited to, an action for: Neglect or failure to keep or perform any condition or covenant of the lease; permitting waste, carrying on unlawful business on the premises, or permitting or maintaining any nuisance; or failure to pay rent subject to the requirements of this act.</w:t>
      </w:r>
    </w:p>
    <w:p>
      <w:pPr>
        <w:spacing w:before="0" w:after="0" w:line="408" w:lineRule="exact"/>
        <w:ind w:left="0" w:right="0" w:firstLine="576"/>
        <w:jc w:val="left"/>
      </w:pPr>
      <w:r>
        <w:rPr/>
        <w:t xml:space="preserve">(2) If a tenant has any unpaid rent that accrued between March 1, 2020, and the governor's eviction moratorium expiration date, and except as provided in subsection (1) of this section, there is a rebuttable presumption that any notice issued to a tenant under RCW 59.12.030 (1) or (2), 59.18.200, or 59.18.220 constitutes a reprisal or retaliatory action. A landlord may not take any adverse action against a tenant who raises the tenant's rights under this section.</w:t>
      </w:r>
    </w:p>
    <w:p>
      <w:pPr>
        <w:spacing w:before="0" w:after="0" w:line="408" w:lineRule="exact"/>
        <w:ind w:left="0" w:right="0" w:firstLine="576"/>
        <w:jc w:val="left"/>
      </w:pPr>
      <w:r>
        <w:rPr/>
        <w:t xml:space="preserve">(3)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tenant's right to possession of a dwelling unit used primarily for residential purposes cannot be conditioned on satisfaction of any rent that accrued between March 1, 2020, and the governor's eviction moratorium expiration date.</w:t>
      </w:r>
    </w:p>
    <w:p>
      <w:pPr>
        <w:spacing w:before="0" w:after="0" w:line="408" w:lineRule="exact"/>
        <w:ind w:left="0" w:right="0" w:firstLine="576"/>
        <w:jc w:val="left"/>
      </w:pPr>
      <w:r>
        <w:rPr/>
        <w:t xml:space="preserve">(2) A tenant who has been adversely impacted during any public health emergency may elect to terminate their tenancy upon a 20-day written notice, which includes a statement that the tenant is terminating their tenancy due to COVID-19. Any tenant who elects to terminate their tenancy under this subsection must not be assessed any penalty, early termination fee, or any other amount for the failure to continue their tenancy for a predetermined amount of time. Any deposit paid by the tenant must not be deemed forfeited by the tenant's election to terminate the tenant's tenancy under this subsection. However, if unpaid rent from prior months during the tenancy is still owed after the tenant elects to terminate their tenancy as authorized under this subsection, the landlord may apply deposit funds to the outstanding rent amount or any other charges consistent with RCW 59.18.280 or apply for reimbursement under the landlord mitigation program as authorized under RCW 43.31.605(1)(d).</w:t>
      </w:r>
    </w:p>
    <w:p>
      <w:pPr>
        <w:spacing w:before="0" w:after="0" w:line="408" w:lineRule="exact"/>
        <w:ind w:left="0" w:right="0" w:firstLine="576"/>
        <w:jc w:val="left"/>
      </w:pPr>
      <w:r>
        <w:rPr/>
        <w:t xml:space="preserve">(3) For rent that accrued between March 1, 2020, and the governor's eviction moratorium expiration date, a tenant's nonpayment of rent must not be a factor in any housing decision affecting a tenant's right or ability to occupy a rental dwelling unit. A tenant's early termination of a prior lease in accordance with subsection (2) of this section may not be a factor in any housing decision affecting the tenant's right or ability to occupy a rental dwelling unit. This subsection applies equally to tenants and prospective tenants.</w:t>
      </w:r>
    </w:p>
    <w:p>
      <w:pPr>
        <w:spacing w:before="0" w:after="0" w:line="408" w:lineRule="exact"/>
        <w:ind w:left="0" w:right="0" w:firstLine="576"/>
        <w:jc w:val="left"/>
      </w:pPr>
      <w:r>
        <w:rPr/>
        <w:t xml:space="preserve">(4) A landlord may not charge or impose any late fees or other charges against any tenant for the nonpayment of rent that became due during any public health emergency.</w:t>
      </w:r>
    </w:p>
    <w:p>
      <w:pPr>
        <w:spacing w:before="0" w:after="0" w:line="408" w:lineRule="exact"/>
        <w:ind w:left="0" w:right="0" w:firstLine="576"/>
        <w:jc w:val="left"/>
      </w:pPr>
      <w:r>
        <w:rPr/>
        <w:t xml:space="preserve">(5)(a) A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(c) A violation of this subsection (5) constitutes a violation of chapter 49.60 RCW.</w:t>
      </w:r>
    </w:p>
    <w:p>
      <w:pPr>
        <w:spacing w:before="0" w:after="0" w:line="408" w:lineRule="exact"/>
        <w:ind w:left="0" w:right="0" w:firstLine="576"/>
        <w:jc w:val="left"/>
      </w:pPr>
      <w:r>
        <w:rPr/>
        <w:t xml:space="preserve">(6)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w:t>
      </w:r>
      <w:r>
        <w:t>((</w:t>
      </w:r>
      <w:r>
        <w:rPr>
          <w:strike/>
        </w:rPr>
        <w:t xml:space="preserve">(e)</w:t>
      </w:r>
      <w:r>
        <w:t>))</w:t>
      </w:r>
      <w:r>
        <w:rPr/>
        <w:t xml:space="preserve"> </w:t>
      </w:r>
      <w:r>
        <w:rPr>
          <w:u w:val="single"/>
        </w:rPr>
        <w:t xml:space="preserve">(d)</w:t>
      </w:r>
      <w:r>
        <w:rPr/>
        <w:t xml:space="preserv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 Claims related to landlord mitigation for unpaid rent that accrued in any prior months before a tenant terminated their tenancy as authorized under section 4(2) of this act are eligible for reimbursement from the landlord mitigation program account subject to the program requirements under this section.</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w:t>
      </w:r>
      <w:r>
        <w:rPr>
          <w:u w:val="single"/>
        </w:rPr>
        <w:t xml:space="preserve">and (d)</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that accrued in any prior months before a tenant terminated their tenancy as authorized under section 4(2) of this act,</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(1)(a)(i) Before taking any collection action to seek any remaining unpaid rent that accrued either between March 1, 2020, and the governor's eviction moratorium expiration date or during the public health emergency as defined in section 2(4)(a) of this act, and if the total amount of unpaid rent is equal to no more than six months of rent due, a landlord must first offer the tenant a repayment plan consisting of a repayment schedule equal to or greater than payment of the outstanding rent debt in monthly payments of at least one-sixth of the outstanding debt owed.</w:t>
      </w:r>
    </w:p>
    <w:p>
      <w:pPr>
        <w:spacing w:before="0" w:after="0" w:line="408" w:lineRule="exact"/>
        <w:ind w:left="0" w:right="0" w:firstLine="576"/>
        <w:jc w:val="left"/>
      </w:pPr>
      <w:r>
        <w:rPr/>
        <w:t xml:space="preserve">(ii) A repayment plan under (a)(i) of this subsection may also incorporate any unpaid rent before March 1, 2020, but only if an unlawful detainer action for nonpayment of rent as authorized under RCW 59.12.030(3) was not filed with the court before March 1, 2020.</w:t>
      </w:r>
    </w:p>
    <w:p>
      <w:pPr>
        <w:spacing w:before="0" w:after="0" w:line="408" w:lineRule="exact"/>
        <w:ind w:left="0" w:right="0" w:firstLine="576"/>
        <w:jc w:val="left"/>
      </w:pPr>
      <w:r>
        <w:rPr/>
        <w:t xml:space="preserve">(b) For purposes of this section, "collection action" means any attempts to collect, or threats to collect, through a collection agency, by filing an unlawful detainer or other judicial action, withholding any portion of a security deposit, billing or invoicing, reporting to credit bureaus, reporting to tenant screening companies, or by any other means.</w:t>
      </w:r>
    </w:p>
    <w:p>
      <w:pPr>
        <w:spacing w:before="0" w:after="0" w:line="408" w:lineRule="exact"/>
        <w:ind w:left="0" w:right="0" w:firstLine="576"/>
        <w:jc w:val="left"/>
      </w:pPr>
      <w:r>
        <w:rPr/>
        <w:t xml:space="preserve">(2) Any repayment plan entered into under this section must:</w:t>
      </w:r>
    </w:p>
    <w:p>
      <w:pPr>
        <w:spacing w:before="0" w:after="0" w:line="408" w:lineRule="exact"/>
        <w:ind w:left="0" w:right="0" w:firstLine="576"/>
        <w:jc w:val="left"/>
      </w:pPr>
      <w:r>
        <w:rPr/>
        <w:t xml:space="preserve">(a) Not require payment until 60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(3)(a) If a tenant knowingly refuses the offer of a repayment plan, fails to respond to the offer of a repayment plan, or defaults on any rent owed under a repayment plan entered into under this section, the landlord may proceed with an unlawful detainer action pursuant to RCW 59.12.030(3) but subject to any requirements under the eviction resolution pilot program established under section 8 of this act.</w:t>
      </w:r>
    </w:p>
    <w:p>
      <w:pPr>
        <w:spacing w:before="0" w:after="0" w:line="408" w:lineRule="exact"/>
        <w:ind w:left="0" w:right="0" w:firstLine="576"/>
        <w:jc w:val="left"/>
      </w:pPr>
      <w:r>
        <w:rPr/>
        <w:t xml:space="preserve">(b) It is a defense to an eviction under RCW 59.12.030 that a landlord did not offer a repayment plan under this section. This defense is not available if a landlord demonstrates by a preponderance of the evidence to a court that the tenant was offered, and knowingly refused or failed to respond to or comply with, a repayment plan in conformity with this section.</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w:t>
      </w:r>
    </w:p>
    <w:p>
      <w:pPr>
        <w:spacing w:before="0" w:after="0" w:line="408" w:lineRule="exact"/>
        <w:ind w:left="0" w:right="0" w:firstLine="576"/>
        <w:jc w:val="left"/>
      </w:pPr>
      <w:r>
        <w:rPr/>
        <w:t xml:space="preserve">(a) The local housing justice project or other designee of the office of civil legal aid; and</w:t>
      </w:r>
    </w:p>
    <w:p>
      <w:pPr>
        <w:spacing w:before="0" w:after="0" w:line="408" w:lineRule="exact"/>
        <w:ind w:left="0" w:right="0" w:firstLine="576"/>
        <w:jc w:val="left"/>
      </w:pPr>
      <w:r>
        <w:rPr/>
        <w:t xml:space="preserve">(b) The local dispute resolution center serving the area where the property is located.</w:t>
      </w:r>
    </w:p>
    <w:p>
      <w:pPr>
        <w:spacing w:before="0" w:after="0" w:line="408" w:lineRule="exact"/>
        <w:ind w:left="0" w:right="0" w:firstLine="576"/>
        <w:jc w:val="left"/>
      </w:pPr>
      <w:r>
        <w:rPr/>
        <w:t xml:space="preserve">(5) The administrative office of the courts must establish program participation requirements for both the landlord and tenant consistent with any standing judicial order in effect. A landlord must be issued a certification of participation by the appropriate dispute resolution center before the landlord may file an unlawful detainer action for nonpayment of rent with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By October 1, 2021, or the date that the office of civil legal aid certifies to the presiding judge of the judicial district that sufficient attorney capacity has been contracted to represent indigent tenants in the respective district consistent with the requirements of this section, whichever is earlier, the court must appoint an attorney for an indigent tenant at any show cause hearing or scheduled trial. The office of civil legal aid is responsible for implementation of this subsection as provided in section 10 of this act. Subject to the availability of amounts appropriated for this specific purpose, the state shall pay the costs of legal services provided by an attorney appointed pursuant to this subsection. If appropriated amounts are insufficient to underwrite or maintain full state responsibility to pay for appointed attorney services required under this subsection, the court's duty to appoint attorneys under this subsection is suspended, and the court is not required to appoint attorneys at the court or county's expense. The duty to appoint attorneys to represent indigent tenants resumes upon certification from the office of civil legal aid that sufficient funding has been appropriated to pay for the costs of legal services provided by an appointed attorney.</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w:t>
      </w:r>
    </w:p>
    <w:p>
      <w:pPr>
        <w:spacing w:before="0" w:after="0" w:line="408" w:lineRule="exact"/>
        <w:ind w:left="0" w:right="0" w:firstLine="576"/>
        <w:jc w:val="left"/>
      </w:pPr>
      <w:r>
        <w:rPr/>
        <w:t xml:space="preserve">(b) Receiving an annual income, after taxes, of 200 percent or less of the current federally established poverty level; or</w:t>
      </w:r>
    </w:p>
    <w:p>
      <w:pPr>
        <w:spacing w:before="0" w:after="0" w:line="408" w:lineRule="exact"/>
        <w:ind w:left="0" w:right="0" w:firstLine="576"/>
        <w:jc w:val="left"/>
      </w:pPr>
      <w:r>
        <w:rPr/>
        <w:t xml:space="preserve">(c) Unable to pay the anticipated cost of counsel for the matter before the court because his or her available funds are insufficient to pay any amount for the retention of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 appropriated by the legislature for legal services provided by an attorney appointed pursuant to section 9 of this act must be administered by the office of civil legal aid established under RCW 2.53.020. The office of civil legal aid must enter into contracts with attorneys and agencies for the provision of legal services under section 9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section 9 of this act. Within 90 days after the effective date of this section, the office of civil legal aid must submit to the appropriate legislative committees a plan to fully implement the tenant representation program under section 9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to an appointed lawyer at court if you are a qualifying low-income renter.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8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by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will appoint a lawyer to represent you if you are indigent as defined in section 9 of this act and are unable to afford a lawyer.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(1) Rental assistance provided through the consolidated homeless grant program;</w:t>
      </w:r>
    </w:p>
    <w:p>
      <w:pPr>
        <w:spacing w:before="0" w:after="0" w:line="408" w:lineRule="exact"/>
        <w:ind w:left="0" w:right="0" w:firstLine="576"/>
        <w:jc w:val="left"/>
      </w:pPr>
      <w:r>
        <w:rPr/>
        <w:t xml:space="preserve">(2) Rental assistance provided through the emergency solutions grant program; and</w:t>
      </w:r>
    </w:p>
    <w:p>
      <w:pPr>
        <w:spacing w:before="0" w:after="0" w:line="408" w:lineRule="exact"/>
        <w:ind w:left="0" w:right="0" w:firstLine="576"/>
        <w:jc w:val="left"/>
      </w:pPr>
      <w:r>
        <w:rPr/>
        <w:t xml:space="preserve">(3) Any rental assistance program funded through receipt of any federal COVID-19 relief funds.</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012</w:t>
      </w:r>
      <w:r>
        <w:rPr/>
        <w:t xml:space="preserve"> and 2009 c 479 s 20 and 2009 c 417 s 1 are each reenacted and amended to read as follows:</w:t>
      </w:r>
    </w:p>
    <w:p>
      <w:pPr>
        <w:spacing w:before="0" w:after="0" w:line="408" w:lineRule="exact"/>
        <w:ind w:left="0" w:right="0" w:firstLine="576"/>
        <w:jc w:val="left"/>
      </w:pPr>
      <w:r>
        <w:rPr/>
        <w:t xml:space="preserve">(1) Revenue collected under this section is subject to division with the state.</w:t>
      </w:r>
    </w:p>
    <w:p>
      <w:pPr>
        <w:spacing w:before="0" w:after="0" w:line="408" w:lineRule="exact"/>
        <w:ind w:left="0" w:right="0" w:firstLine="576"/>
        <w:jc w:val="left"/>
      </w:pPr>
      <w:r>
        <w:rPr/>
        <w:t xml:space="preserve">(2) The party filing a transcript or abstract of judgment or verdict from a United States court held in this state, or from the superior court of another county or from a district court in the county of issuance, shall pay at the time of filing a fee of twenty dollars.</w:t>
      </w:r>
    </w:p>
    <w:p>
      <w:pPr>
        <w:spacing w:before="0" w:after="0" w:line="408" w:lineRule="exact"/>
        <w:ind w:left="0" w:right="0" w:firstLine="576"/>
        <w:jc w:val="left"/>
      </w:pPr>
      <w:r>
        <w:rPr/>
        <w:t xml:space="preserve">(3) The clerk shall collect a fee of twenty dollars for: Filing a document not related to or a part of a proceeding, civil or criminal, or a probate matter, required or permitted to be filed in the clerk's office for which no other charge is provided by law.</w:t>
      </w:r>
    </w:p>
    <w:p>
      <w:pPr>
        <w:spacing w:before="0" w:after="0" w:line="408" w:lineRule="exact"/>
        <w:ind w:left="0" w:right="0" w:firstLine="576"/>
        <w:jc w:val="left"/>
      </w:pPr>
      <w:r>
        <w:rPr/>
        <w:t xml:space="preserve">(4) </w:t>
      </w:r>
      <w:r>
        <w:t>((</w:t>
      </w:r>
      <w:r>
        <w:rPr>
          <w:strike/>
        </w:rPr>
        <w:t xml:space="preserve">If the defendant serves or files an answer to an unlawful detainer complaint under chapter 59.18 or 59.20 RCW, the plaintiff shall pay before proceeding with the unlawful detainer action one hundred twelve dollars.</w:t>
      </w:r>
    </w:p>
    <w:p>
      <w:pPr>
        <w:spacing w:before="0" w:after="0" w:line="408" w:lineRule="exact"/>
        <w:ind w:left="0" w:right="0" w:firstLine="576"/>
        <w:jc w:val="left"/>
      </w:pPr>
      <w:r>
        <w:rPr>
          <w:strike/>
        </w:rPr>
        <w:t xml:space="preserve">(5)</w:t>
      </w:r>
      <w:r>
        <w:t>))</w:t>
      </w:r>
      <w:r>
        <w:rPr/>
        <w:t xml:space="preserve"> Any party filing a counterclaim, cross-claim, or third-party claim in an unlawful detainer action under chapter 59.18 or 59.20 RCW shall pay the equivalent to the total filing fee of an unlawful detainer action pursuant to RCW 36.18.020</w:t>
      </w:r>
      <w:r>
        <w:t>((</w:t>
      </w:r>
      <w:r>
        <w:rPr>
          <w:strike/>
        </w:rPr>
        <w:t xml:space="preserve">, including the fee for an unlawful detainer answer pursuant to subsection (4) of this section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a restrictive covenant for filing a petition to strike discriminatory provisions in real estate under RCW 49.60.227 a fee of twenty dollars must be charged.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fee of twenty dollars must be charged for filing a will only, when no probate of the will is contemplated.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fee of twenty dollars must be charged for filing a petition, written agreement, or written memorandum in a nonjudicial probate dispute under RCW 11.96A.220, if it is filed within an existing case in the same court.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fee of thirty-five dollars must be charged for filing a petition regarding a common law lien under RCW 60.70.060.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the filing of a tax warrant for unpaid taxes or overpayment of benefits by any agency of the state of Washington, a fee of five dollars on or after July 22, 2001, and for the filing of such a tax warrant or overpayment of benefits on or after July 1, 2003, a fee of twenty dollars, of which forty-six percent of the first five dollars is directed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w:t>
      </w:r>
      <w:r>
        <w:t>((</w:t>
      </w:r>
      <w:r>
        <w:rPr>
          <w:strike/>
        </w:rPr>
        <w:t xml:space="preserve">,</w:t>
      </w:r>
      <w:r>
        <w:t>))</w:t>
      </w:r>
      <w:r>
        <w:rPr/>
        <w:t xml:space="preserve">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w:t>
      </w:r>
      <w:r>
        <w:t>((</w:t>
      </w:r>
      <w:r>
        <w:rPr>
          <w:strike/>
        </w:rPr>
        <w:t xml:space="preserve">, in an unlawful detainer action under chapter 59.18 or 59.20 RCW for which the plaintiff shall pay a case initiating filing fee of forty-five dollars, or</w:t>
      </w:r>
      <w:r>
        <w:t>))</w:t>
      </w:r>
      <w:r>
        <w:rPr/>
        <w:t xml:space="preserve"> in proceedings filed under RCW 28A.225.030 alleging a violation of the compulsory attendance laws where the petitioner shall not pay a filing fee. </w:t>
      </w:r>
      <w:r>
        <w:t>((</w:t>
      </w:r>
      <w:r>
        <w:rPr>
          <w:strike/>
        </w:rPr>
        <w:t xml:space="preserve">The forty-five dollar filing fee under this subsection for an unlawful detainer action shall not include an order to show cause or any other order or judgment except a default order or default judgment in an unlawful detainer action.</w:t>
      </w:r>
      <w:r>
        <w:t>))</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w:t>
      </w:r>
      <w:r>
        <w:t>((</w:t>
      </w:r>
      <w:r>
        <w:rPr>
          <w:strike/>
        </w:rPr>
        <w:t xml:space="preserve">two hundred dollars</w:t>
      </w:r>
      <w:r>
        <w:t>))</w:t>
      </w:r>
      <w:r>
        <w:rPr/>
        <w:t xml:space="preserve"> </w:t>
      </w:r>
      <w:r>
        <w:rPr>
          <w:u w:val="single"/>
        </w:rPr>
        <w:t xml:space="preserve">$200</w:t>
      </w:r>
      <w:r>
        <w:rPr/>
        <w:t xml:space="preserve">,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w:t>
      </w:r>
      <w:r>
        <w:t>((</w:t>
      </w:r>
      <w:r>
        <w:rPr>
          <w:strike/>
        </w:rPr>
        <w:t xml:space="preserve">(e)</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w:t>
      </w:r>
      <w:r>
        <w:t>((</w:t>
      </w:r>
      <w:r>
        <w:rPr>
          <w:strike/>
        </w:rPr>
        <w:t xml:space="preserve">an ex parte</w:t>
      </w:r>
      <w:r>
        <w:t>))</w:t>
      </w:r>
      <w:r>
        <w:rPr/>
        <w:t xml:space="preserve"> </w:t>
      </w:r>
      <w:r>
        <w:rPr>
          <w:u w:val="single"/>
        </w:rPr>
        <w:t xml:space="preserve">a</w:t>
      </w:r>
      <w:r>
        <w:rPr/>
        <w:t xml:space="preserve"> stay of the writ of restitution</w:t>
      </w:r>
      <w:r>
        <w:rPr>
          <w:u w:val="single"/>
        </w:rPr>
        <w:t xml:space="preserve">, including ex parte,</w:t>
      </w:r>
      <w:r>
        <w:rPr/>
        <w:t xml:space="preserve">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w:t>
      </w:r>
      <w:r>
        <w:rPr>
          <w:u w:val="single"/>
        </w:rPr>
        <w:t xml:space="preserve">, along with any accompanying motions,</w:t>
      </w:r>
      <w:r>
        <w:rPr/>
        <w:t xml:space="preserve">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9 of this act, 59.18.365, 59.18.367,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367</w:t>
      </w:r>
      <w:r>
        <w:rPr/>
        <w:t xml:space="preserve"> and 2016 c 66 s 3 are each amended to read as follows:</w:t>
      </w:r>
    </w:p>
    <w:p>
      <w:pPr>
        <w:spacing w:before="0" w:after="0" w:line="408" w:lineRule="exact"/>
        <w:ind w:left="0" w:right="0" w:firstLine="576"/>
        <w:jc w:val="left"/>
      </w:pPr>
      <w:r>
        <w:rPr/>
        <w:t xml:space="preserve">(1) </w:t>
      </w:r>
      <w:r>
        <w:t>((</w:t>
      </w:r>
      <w:r>
        <w:rPr>
          <w:strike/>
        </w:rPr>
        <w:t xml:space="preserve">A court may order an unlawful detainer action to be of limited dissemination for one or more persons if: (a) The court finds that the plaintiff's case was sufficiently without basis in fact or law; (b)</w:t>
      </w:r>
      <w:r>
        <w:t>))</w:t>
      </w:r>
      <w:r>
        <w:rPr/>
        <w:t xml:space="preserve"> </w:t>
      </w:r>
      <w:r>
        <w:rPr>
          <w:u w:val="single"/>
        </w:rPr>
        <w:t xml:space="preserve">An unlawful detainer action for a dwelling used as a primary residence filed under this chapter or chapter 59.12 or 59.20 RCW is presumptively of limited dissemination as provided in this section.</w:t>
      </w:r>
    </w:p>
    <w:p>
      <w:pPr>
        <w:spacing w:before="0" w:after="0" w:line="408" w:lineRule="exact"/>
        <w:ind w:left="0" w:right="0" w:firstLine="576"/>
        <w:jc w:val="left"/>
      </w:pPr>
      <w:r>
        <w:rPr>
          <w:u w:val="single"/>
        </w:rPr>
        <w:t xml:space="preserve">(2) Upon a motion by the landlord after a final judgment, a court may grant an order permitting dissemination of an unlawful detainer action record only if both a writ of restitution is granted and a final order or judgment is entered in favor of the landlord; however, a court may not grant an order permitting dissemination if either (a)</w:t>
      </w:r>
      <w:r>
        <w:rPr/>
        <w:t xml:space="preserve"> the tenancy was reinstated under RCW 59.18.410 or other law; or </w:t>
      </w:r>
      <w:r>
        <w:t>((</w:t>
      </w:r>
      <w:r>
        <w:rPr>
          <w:strike/>
        </w:rPr>
        <w:t xml:space="preserve">(c) other</w:t>
      </w:r>
      <w:r>
        <w:t>))</w:t>
      </w:r>
      <w:r>
        <w:rPr/>
        <w:t xml:space="preserve"> </w:t>
      </w:r>
      <w:r>
        <w:rPr>
          <w:u w:val="single"/>
        </w:rPr>
        <w:t xml:space="preserve">(b)</w:t>
      </w:r>
      <w:r>
        <w:rPr/>
        <w:t xml:space="preserve"> good cause exists for </w:t>
      </w:r>
      <w:r>
        <w:t>((</w:t>
      </w:r>
      <w:r>
        <w:rPr>
          <w:strike/>
        </w:rPr>
        <w:t xml:space="preserve">limiting</w:t>
      </w:r>
      <w:r>
        <w:t>))</w:t>
      </w:r>
      <w:r>
        <w:rPr/>
        <w:t xml:space="preserve"> </w:t>
      </w:r>
      <w:r>
        <w:rPr>
          <w:u w:val="single"/>
        </w:rPr>
        <w:t xml:space="preserve">prohibiting</w:t>
      </w:r>
      <w:r>
        <w:rPr/>
        <w:t xml:space="preserve"> dissemination </w:t>
      </w:r>
      <w:r>
        <w:t>((</w:t>
      </w:r>
      <w:r>
        <w:rPr>
          <w:strike/>
        </w:rPr>
        <w:t xml:space="preserve">of the unlawful detainer action</w:t>
      </w:r>
      <w:r>
        <w:t>))</w:t>
      </w:r>
      <w:r>
        <w:rPr/>
        <w:t xml:space="preserve">. </w:t>
      </w:r>
      <w:r>
        <w:rPr>
          <w:u w:val="single"/>
        </w:rPr>
        <w:t xml:space="preserve">A court may not award attorneys' fees or costs for a motion to grant an order permitting dissemination.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order </w:t>
      </w:r>
      <w:r>
        <w:t>((</w:t>
      </w:r>
      <w:r>
        <w:rPr>
          <w:strike/>
        </w:rPr>
        <w:t xml:space="preserve">to limit</w:t>
      </w:r>
      <w:r>
        <w:t>))</w:t>
      </w:r>
      <w:r>
        <w:rPr/>
        <w:t xml:space="preserve"> </w:t>
      </w:r>
      <w:r>
        <w:rPr>
          <w:u w:val="single"/>
        </w:rPr>
        <w:t xml:space="preserve">permitting</w:t>
      </w:r>
      <w:r>
        <w:rPr/>
        <w:t xml:space="preserve"> dissemination of an unlawful detainer action must be in writing.</w:t>
      </w:r>
    </w:p>
    <w:p>
      <w:pPr>
        <w:spacing w:before="0" w:after="0" w:line="408" w:lineRule="exact"/>
        <w:ind w:left="0" w:right="0" w:firstLine="576"/>
        <w:jc w:val="left"/>
      </w:pPr>
      <w:r>
        <w:t>((</w:t>
      </w:r>
      <w:r>
        <w:rPr>
          <w:strike/>
        </w:rPr>
        <w:t xml:space="preserve">(3) When an order for limited dissemination of an unlawful detainer action has been entered with respect to a person</w:t>
      </w:r>
      <w:r>
        <w:t>))</w:t>
      </w:r>
      <w:r>
        <w:rPr/>
        <w:t xml:space="preserve"> </w:t>
      </w:r>
      <w:r>
        <w:rPr>
          <w:u w:val="single"/>
        </w:rPr>
        <w:t xml:space="preserve">(4) If a court grants an order permitting dissemination of an unlawful detainer action record, upon motion by the tenant, the court must prohibit the dissemination of the record if the tenant has satisfied the monetary judgment or debt associated with the unlawful detainer action or there is other good cause.</w:t>
      </w:r>
    </w:p>
    <w:p>
      <w:pPr>
        <w:spacing w:before="0" w:after="0" w:line="408" w:lineRule="exact"/>
        <w:ind w:left="0" w:right="0" w:firstLine="576"/>
        <w:jc w:val="left"/>
      </w:pPr>
      <w:r>
        <w:rPr>
          <w:u w:val="single"/>
        </w:rPr>
        <w:t xml:space="preserve">(5) Unless a court has granted an order permitting dissemination of an unlawful detainer action record</w:t>
      </w:r>
      <w:r>
        <w:rPr/>
        <w:t xml:space="preserve">, a tenant screening service provider must not: (a) Disclose </w:t>
      </w:r>
      <w:r>
        <w:rPr>
          <w:u w:val="single"/>
        </w:rPr>
        <w:t xml:space="preserve">both</w:t>
      </w:r>
      <w:r>
        <w:rPr/>
        <w:t xml:space="preserve"> the existence of </w:t>
      </w:r>
      <w:r>
        <w:rPr>
          <w:u w:val="single"/>
        </w:rPr>
        <w:t xml:space="preserve">and any monetary amounts associated with</w:t>
      </w:r>
      <w:r>
        <w:rPr/>
        <w:t xml:space="preserve">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59</w:t>
      </w:r>
      <w:r>
        <w:rPr/>
        <w:t xml:space="preserve">.</w:t>
      </w:r>
      <w:r>
        <w:t xml:space="preserve">18</w:t>
      </w:r>
      <w:r>
        <w:rPr/>
        <w:t xml:space="preserve">.</w:t>
      </w:r>
      <w:r>
        <w:t xml:space="preserve">080</w:t>
      </w:r>
      <w:r>
        <w:rPr/>
        <w:t xml:space="preserve"> (Payment of rent condition to exercising remedies</w:t>
      </w:r>
      <w:r>
        <w:rPr>
          <w:rFonts w:ascii="Times New Roman" w:hAnsi="Times New Roman"/>
        </w:rPr>
        <w:t xml:space="preserve">—</w:t>
      </w:r>
      <w:r>
        <w:rPr/>
        <w:t xml:space="preserve">Exceptions) and 2010 c 8 s 19019 &amp; 1973 1st ex.s. c 207 s 8;</w:t>
      </w:r>
    </w:p>
    <w:p>
      <w:pPr>
        <w:spacing w:before="0" w:after="0" w:line="408" w:lineRule="exact"/>
        <w:ind w:left="0" w:right="0" w:firstLine="576"/>
        <w:jc w:val="left"/>
      </w:pPr>
      <w:r>
        <w:t>(2)</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and</w:t>
      </w:r>
    </w:p>
    <w:p>
      <w:pPr>
        <w:spacing w:before="0" w:after="0" w:line="408" w:lineRule="exact"/>
        <w:ind w:left="0" w:right="0" w:firstLine="576"/>
        <w:jc w:val="left"/>
      </w:pPr>
      <w:r>
        <w:t>(3)</w:t>
      </w:r>
      <w:r>
        <w:rPr/>
        <w:t xml:space="preserve">RCW </w:t>
      </w:r>
      <w:r>
        <w:t xml:space="preserve">59</w:t>
      </w:r>
      <w:r>
        <w:rPr/>
        <w:t xml:space="preserve">.</w:t>
      </w:r>
      <w:r>
        <w:t xml:space="preserve">20</w:t>
      </w:r>
      <w:r>
        <w:rPr/>
        <w:t xml:space="preserve">.</w:t>
      </w:r>
      <w:r>
        <w:t xml:space="preserve">310</w:t>
      </w:r>
      <w:r>
        <w:rPr/>
        <w:t xml:space="preserve"> (Unlawful detainer action</w:t>
      </w:r>
      <w:r>
        <w:rPr>
          <w:rFonts w:ascii="Times New Roman" w:hAnsi="Times New Roman"/>
        </w:rPr>
        <w:t xml:space="preserve">—</w:t>
      </w:r>
      <w:r>
        <w:rPr/>
        <w:t xml:space="preserve">Limited dissemination) and 2019 c 390 s 18 &amp; 2019 c 342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7, and 8 of this act supersede any other provisions within chapter 59.18 or 59.12 RCW, or chapter 59.20 RCW as applicable, that conflict with sections 2 through 4,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8bd6fba6c340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c9cf1a30c437d" /><Relationship Type="http://schemas.openxmlformats.org/officeDocument/2006/relationships/footer" Target="/word/footer1.xml" Id="R6b8bd6fba6c3403e" /></Relationships>
</file>