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0f38d1a2f4b50" /></Relationships>
</file>

<file path=word/document.xml><?xml version="1.0" encoding="utf-8"?>
<w:document xmlns:w="http://schemas.openxmlformats.org/wordprocessingml/2006/main">
  <w:body>
    <w:p>
      <w:r>
        <w:t>S-1040.1</w:t>
      </w:r>
    </w:p>
    <w:p>
      <w:pPr>
        <w:jc w:val="center"/>
      </w:pPr>
      <w:r>
        <w:t>_______________________________________________</w:t>
      </w:r>
    </w:p>
    <w:p/>
    <w:p>
      <w:pPr>
        <w:jc w:val="center"/>
      </w:pPr>
      <w:r>
        <w:rPr>
          <w:b/>
        </w:rPr>
        <w:t>SUBSTITUTE SENATE BILL 5189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 Fortunato)</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affordability by incentivizing the construction of American dream homes; adding a new section to chapter 36.70A RCW; adding a new section to chapter 82.08 RCW; adding a new section to chapter 82.12 RCW; adding a new section to chapter 82.04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Until December 31, 2031, a person may request a permit for an American dream home in order to encourage the development of residential housing for low-income households.</w:t>
      </w:r>
    </w:p>
    <w:p>
      <w:pPr>
        <w:spacing w:before="0" w:after="0" w:line="408" w:lineRule="exact"/>
        <w:ind w:left="0" w:right="0" w:firstLine="576"/>
        <w:jc w:val="left"/>
      </w:pPr>
      <w:r>
        <w:rPr/>
        <w:t xml:space="preserve">(2) A new American dream home must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$1,250;</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 The covenant or restriction must provide that the American dream home is occupied by the owner that is qualified under this section. If an American dream home is resold any time before December 31, 2031, the price must be affordable for low-income households;</w:t>
      </w:r>
    </w:p>
    <w:p>
      <w:pPr>
        <w:spacing w:before="0" w:after="0" w:line="408" w:lineRule="exact"/>
        <w:ind w:left="0" w:right="0" w:firstLine="576"/>
        <w:jc w:val="left"/>
      </w:pPr>
      <w:r>
        <w:rPr/>
        <w:t xml:space="preserve">(d) An American dream home must conform to the residential building code in effect in the jurisdiction where the home is built.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"Affordable"  means residential housing which, as long as the same is occupied by low-income households, requires payment of monthly housing costs, including utilities other than telephone, of no more than 30 percent of the family's income, for a family earning 80 percent of the area median income.</w:t>
      </w:r>
    </w:p>
    <w:p>
      <w:pPr>
        <w:spacing w:before="0" w:after="0" w:line="408" w:lineRule="exact"/>
        <w:ind w:left="0" w:right="0" w:firstLine="576"/>
        <w:jc w:val="left"/>
      </w:pPr>
      <w:r>
        <w:rPr/>
        <w:t xml:space="preserve">(b) "American dream home" means an owner-occupied single-family residential detached dwelling of 1,700 square feet or less serving low-income households.</w:t>
      </w:r>
    </w:p>
    <w:p>
      <w:pPr>
        <w:spacing w:before="0" w:after="0" w:line="408" w:lineRule="exact"/>
        <w:ind w:left="0" w:right="0" w:firstLine="576"/>
        <w:jc w:val="left"/>
      </w:pPr>
      <w:r>
        <w:rPr/>
        <w:t xml:space="preserve">(c) "Low-income household" means a single person, family, or unrelated persons living together whose adjusted income is less than 80 percent of the median family income adjusted for household size, for the city or county where the project is located.</w:t>
      </w:r>
    </w:p>
    <w:p>
      <w:pPr>
        <w:spacing w:before="0" w:after="0" w:line="408" w:lineRule="exact"/>
        <w:ind w:left="0" w:right="0" w:firstLine="576"/>
        <w:jc w:val="left"/>
      </w:pPr>
      <w:r>
        <w:rPr/>
        <w:t xml:space="preserve">(4) A city or county must report to the department by March 1, 2031, regarding the number of American dream home permits issued in its jurisdiction. The department must compile the data and report to the appropriate committees of the legislature regarding the participation by jurisdiction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1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2 of this act apply to this section.</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builder of an American dream home is allowed an annual credit against the tax due under this chapter as provided in this section. The credit equals four percent of the gross selling price of the home.</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(5) This section is exempt from the provisions of RCW 82.32.808.</w:t>
      </w:r>
    </w:p>
    <w:p>
      <w:pPr>
        <w:spacing w:before="0" w:after="0" w:line="408" w:lineRule="exact"/>
        <w:ind w:left="0" w:right="0" w:firstLine="576"/>
        <w:jc w:val="left"/>
      </w:pPr>
      <w:r>
        <w:rPr/>
        <w:t xml:space="preserve">(6) This section expires July 1, 2032.</w:t>
      </w:r>
    </w:p>
    <w:p/>
    <w:p>
      <w:pPr>
        <w:jc w:val="center"/>
      </w:pPr>
      <w:r>
        <w:rPr>
          <w:b/>
        </w:rPr>
        <w:t>--- END ---</w:t>
      </w:r>
    </w:p>
    <w:sectPr>
      <w:pgNumType w:start="1"/>
      <w:footerReference xmlns:r="http://schemas.openxmlformats.org/officeDocument/2006/relationships" r:id="Rd7ca4d1a207045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d2b6aea3554e19" /><Relationship Type="http://schemas.openxmlformats.org/officeDocument/2006/relationships/footer" Target="/word/footer1.xml" Id="Rd7ca4d1a20704512" /></Relationships>
</file>