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3c8222dfe0429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5190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Holy, Frockt, Conway, Hasegawa, Honeyford, Keiser, King, Lovelett, Randall, Salomon, Van De Wege, Warnick, Wilson, C., and Wilson, J.)</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health care workers with presumptive benefits during a public health emergency; amending RCW 50.04.294, 50.20.010, 50.20.050, 50.29.021, and 51.52.130; adding new sections to chapter 51.32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294</w:t>
      </w:r>
      <w:r>
        <w:rPr/>
        <w:t xml:space="preserve"> and 2006 c 13 s 9 are each amended to read as follows:</w:t>
      </w:r>
    </w:p>
    <w:p>
      <w:pPr>
        <w:spacing w:before="0" w:after="0" w:line="408" w:lineRule="exact"/>
        <w:ind w:left="0" w:right="0" w:firstLine="576"/>
        <w:jc w:val="left"/>
      </w:pPr>
      <w:r>
        <w:rPr/>
        <w:t xml:space="preserve">With respect to claims that have an effective date on or after January 4, 2004:</w:t>
      </w:r>
    </w:p>
    <w:p>
      <w:pPr>
        <w:spacing w:before="0" w:after="0" w:line="408" w:lineRule="exact"/>
        <w:ind w:left="0" w:right="0" w:firstLine="576"/>
        <w:jc w:val="left"/>
      </w:pPr>
      <w:r>
        <w:rPr/>
        <w:t xml:space="preserve">(1) "Misconduct" includes, but is not limited to, the following conduct by a claimant:</w:t>
      </w:r>
    </w:p>
    <w:p>
      <w:pPr>
        <w:spacing w:before="0" w:after="0" w:line="408" w:lineRule="exact"/>
        <w:ind w:left="0" w:right="0" w:firstLine="576"/>
        <w:jc w:val="left"/>
      </w:pPr>
      <w:r>
        <w:rPr/>
        <w:t xml:space="preserve">(a) Willful or wanton disregard of the rights, title, and interests of the employer or a fellow employee;</w:t>
      </w:r>
    </w:p>
    <w:p>
      <w:pPr>
        <w:spacing w:before="0" w:after="0" w:line="408" w:lineRule="exact"/>
        <w:ind w:left="0" w:right="0" w:firstLine="576"/>
        <w:jc w:val="left"/>
      </w:pPr>
      <w:r>
        <w:rPr/>
        <w:t xml:space="preserve">(b) Deliberate violations or disregard of standards of behavior which the employer has the right to expect of an employee;</w:t>
      </w:r>
    </w:p>
    <w:p>
      <w:pPr>
        <w:spacing w:before="0" w:after="0" w:line="408" w:lineRule="exact"/>
        <w:ind w:left="0" w:right="0" w:firstLine="576"/>
        <w:jc w:val="left"/>
      </w:pPr>
      <w:r>
        <w:rPr/>
        <w:t xml:space="preserve">(c) Carelessness or negligence that causes or would likely cause serious bodily harm to the employer or a fellow employee; or</w:t>
      </w:r>
    </w:p>
    <w:p>
      <w:pPr>
        <w:spacing w:before="0" w:after="0" w:line="408" w:lineRule="exact"/>
        <w:ind w:left="0" w:right="0" w:firstLine="576"/>
        <w:jc w:val="left"/>
      </w:pPr>
      <w:r>
        <w:rPr/>
        <w:t xml:space="preserve">(d) Carelessness or negligence of such degree or recurrence to show an intentional or substantial disregard of the employer's interest.</w:t>
      </w:r>
    </w:p>
    <w:p>
      <w:pPr>
        <w:spacing w:before="0" w:after="0" w:line="408" w:lineRule="exact"/>
        <w:ind w:left="0" w:right="0" w:firstLine="576"/>
        <w:jc w:val="left"/>
      </w:pPr>
      <w:r>
        <w:rPr/>
        <w:t xml:space="preserve">(2) The following acts are considered misconduct because the acts signify a willful or wanton disregard of the rights, title, and interests of the employer or a fellow employee. These acts include, but are not limited to:</w:t>
      </w:r>
    </w:p>
    <w:p>
      <w:pPr>
        <w:spacing w:before="0" w:after="0" w:line="408" w:lineRule="exact"/>
        <w:ind w:left="0" w:right="0" w:firstLine="576"/>
        <w:jc w:val="left"/>
      </w:pPr>
      <w:r>
        <w:rPr/>
        <w:t xml:space="preserve">(a) Insubordination showing a deliberate, willful, or purposeful refusal to follow the reasonable directions or instructions of the employer;</w:t>
      </w:r>
    </w:p>
    <w:p>
      <w:pPr>
        <w:spacing w:before="0" w:after="0" w:line="408" w:lineRule="exact"/>
        <w:ind w:left="0" w:right="0" w:firstLine="576"/>
        <w:jc w:val="left"/>
      </w:pPr>
      <w:r>
        <w:rPr/>
        <w:t xml:space="preserve">(b) Repeated inexcusable tardiness following warnings by the employer;</w:t>
      </w:r>
    </w:p>
    <w:p>
      <w:pPr>
        <w:spacing w:before="0" w:after="0" w:line="408" w:lineRule="exact"/>
        <w:ind w:left="0" w:right="0" w:firstLine="576"/>
        <w:jc w:val="left"/>
      </w:pPr>
      <w:r>
        <w:rPr/>
        <w:t xml:space="preserve">(c) Dishonesty related to employment, including but not limited to deliberate falsification of company records, theft, deliberate deception, or lying;</w:t>
      </w:r>
    </w:p>
    <w:p>
      <w:pPr>
        <w:spacing w:before="0" w:after="0" w:line="408" w:lineRule="exact"/>
        <w:ind w:left="0" w:right="0" w:firstLine="576"/>
        <w:jc w:val="left"/>
      </w:pPr>
      <w:r>
        <w:rPr/>
        <w:t xml:space="preserve">(d) Repeated and inexcusable absences, including absences for which the employee was able to give advance notice and failed to do so;</w:t>
      </w:r>
    </w:p>
    <w:p>
      <w:pPr>
        <w:spacing w:before="0" w:after="0" w:line="408" w:lineRule="exact"/>
        <w:ind w:left="0" w:right="0" w:firstLine="576"/>
        <w:jc w:val="left"/>
      </w:pPr>
      <w:r>
        <w:rPr/>
        <w:t xml:space="preserve">(e) Deliberate acts that are illegal, provoke violence or violation of laws, or violate the collective bargaining agreement. However, an employee who engages in lawful union activity may not be disqualified due to misconduct;</w:t>
      </w:r>
    </w:p>
    <w:p>
      <w:pPr>
        <w:spacing w:before="0" w:after="0" w:line="408" w:lineRule="exact"/>
        <w:ind w:left="0" w:right="0" w:firstLine="576"/>
        <w:jc w:val="left"/>
      </w:pPr>
      <w:r>
        <w:rPr/>
        <w:t xml:space="preserve">(f) Violation of a company rule if the rule is reasonable and if the claimant knew or should have known of the existence of the rule; or</w:t>
      </w:r>
    </w:p>
    <w:p>
      <w:pPr>
        <w:spacing w:before="0" w:after="0" w:line="408" w:lineRule="exact"/>
        <w:ind w:left="0" w:right="0" w:firstLine="576"/>
        <w:jc w:val="left"/>
      </w:pPr>
      <w:r>
        <w:rPr/>
        <w:t xml:space="preserve">(g) Violations of law by the claimant while acting within the scope of employment that substantially affect the claimant's job performance or that substantially harm the employer's ability to do business.</w:t>
      </w:r>
    </w:p>
    <w:p>
      <w:pPr>
        <w:spacing w:before="0" w:after="0" w:line="408" w:lineRule="exact"/>
        <w:ind w:left="0" w:right="0" w:firstLine="576"/>
        <w:jc w:val="left"/>
      </w:pPr>
      <w:r>
        <w:rPr/>
        <w:t xml:space="preserve">(3) "Misconduct" does not include:</w:t>
      </w:r>
    </w:p>
    <w:p>
      <w:pPr>
        <w:spacing w:before="0" w:after="0" w:line="408" w:lineRule="exact"/>
        <w:ind w:left="0" w:right="0" w:firstLine="576"/>
        <w:jc w:val="left"/>
      </w:pPr>
      <w:r>
        <w:rPr/>
        <w:t xml:space="preserve">(a) Inefficiency, unsatisfactory conduct, or failure to perform well as the result of inability or incapacity;</w:t>
      </w:r>
    </w:p>
    <w:p>
      <w:pPr>
        <w:spacing w:before="0" w:after="0" w:line="408" w:lineRule="exact"/>
        <w:ind w:left="0" w:right="0" w:firstLine="576"/>
        <w:jc w:val="left"/>
      </w:pPr>
      <w:r>
        <w:rPr/>
        <w:t xml:space="preserve">(b) Inadvertence or ordinary negligence in isolated instances; </w:t>
      </w:r>
      <w:r>
        <w:t>((</w:t>
      </w:r>
      <w:r>
        <w:rPr>
          <w:strike/>
        </w:rPr>
        <w:t xml:space="preserve">or</w:t>
      </w:r>
      <w:r>
        <w:t>))</w:t>
      </w:r>
    </w:p>
    <w:p>
      <w:pPr>
        <w:spacing w:before="0" w:after="0" w:line="408" w:lineRule="exact"/>
        <w:ind w:left="0" w:right="0" w:firstLine="576"/>
        <w:jc w:val="left"/>
      </w:pPr>
      <w:r>
        <w:rPr/>
        <w:t xml:space="preserve">(c) Good faith errors in judgment or discretion</w:t>
      </w:r>
      <w:r>
        <w:rPr>
          <w:u w:val="single"/>
        </w:rPr>
        <w:t xml:space="preserve">; or</w:t>
      </w:r>
    </w:p>
    <w:p>
      <w:pPr>
        <w:spacing w:before="0" w:after="0" w:line="408" w:lineRule="exact"/>
        <w:ind w:left="0" w:right="0" w:firstLine="576"/>
        <w:jc w:val="left"/>
      </w:pPr>
      <w:r>
        <w:rPr>
          <w:u w:val="single"/>
        </w:rPr>
        <w:t xml:space="preserve">(d) Entering quarantine because of exposure to or contracting the disease that is the subject of the declaration of the public health emergency</w:t>
      </w:r>
      <w:r>
        <w:rPr/>
        <w:t xml:space="preserve">.</w:t>
      </w:r>
    </w:p>
    <w:p>
      <w:pPr>
        <w:spacing w:before="0" w:after="0" w:line="408" w:lineRule="exact"/>
        <w:ind w:left="0" w:right="0" w:firstLine="576"/>
        <w:jc w:val="left"/>
      </w:pPr>
      <w:r>
        <w:rPr/>
        <w:t xml:space="preserve">(4) "Gross misconduct" means a criminal act in connection with an individual's work for which the individual has been convicted in a criminal court, or has admitted committing, or conduct connected with the individual's work that demonstrates a flagrant and wanton disregard of and for the rights, title, or interest of the employer or a fellow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2021 c 2 s 8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The individual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The individual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The individual is able to work, and is available for work in any trade, occupation, profession, or business for which the individual is reasonably fitted.</w:t>
      </w:r>
    </w:p>
    <w:p>
      <w:pPr>
        <w:spacing w:before="0" w:after="0" w:line="408" w:lineRule="exact"/>
        <w:ind w:left="0" w:right="0" w:firstLine="576"/>
        <w:jc w:val="left"/>
      </w:pPr>
      <w:r>
        <w:rPr/>
        <w:t xml:space="preserve">(i)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(ii) Until June 30, 2021, an individual under quarantine or isolation, as defined by the department of health, as directed by a public health official during the novel coronavirus outbreak pursuant to the gubernatorial declaration of emergency of February 29, 2020, will meet the requirements of this subsection (1)(c) if the individual is able to perform, available to perform, and actively seeking work which can be performed while under quarantine or isolation.</w:t>
      </w:r>
    </w:p>
    <w:p>
      <w:pPr>
        <w:spacing w:before="0" w:after="0" w:line="408" w:lineRule="exact"/>
        <w:ind w:left="0" w:right="0" w:firstLine="576"/>
        <w:jc w:val="left"/>
      </w:pPr>
      <w:r>
        <w:rPr/>
        <w:t xml:space="preserve">(iii)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p>
    <w:p>
      <w:pPr>
        <w:spacing w:before="0" w:after="0" w:line="408" w:lineRule="exact"/>
        <w:ind w:left="0" w:right="0" w:firstLine="576"/>
        <w:jc w:val="left"/>
      </w:pPr>
      <w:r>
        <w:rPr/>
        <w:t xml:space="preserve">(d) The individual has been unemployed for a waiting period of one week;</w:t>
      </w:r>
    </w:p>
    <w:p>
      <w:pPr>
        <w:spacing w:before="0" w:after="0" w:line="408" w:lineRule="exact"/>
        <w:ind w:left="0" w:right="0" w:firstLine="576"/>
        <w:jc w:val="left"/>
      </w:pPr>
      <w:r>
        <w:rPr/>
        <w:t xml:space="preserve">(e) The individual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0" w:after="0" w:line="408" w:lineRule="exact"/>
        <w:ind w:left="0" w:right="0" w:firstLine="576"/>
        <w:jc w:val="left"/>
      </w:pPr>
      <w:r>
        <w:rPr/>
        <w:t xml:space="preserve">(3)(a) For any weeks of unemployment insurance benefits when the one week waiting period is fully paid or fully reimbursed by the federal government, subsection (1)(d) of this section is waived.</w:t>
      </w:r>
    </w:p>
    <w:p>
      <w:pPr>
        <w:spacing w:before="0" w:after="0" w:line="408" w:lineRule="exact"/>
        <w:ind w:left="0" w:right="0" w:firstLine="576"/>
        <w:jc w:val="left"/>
      </w:pPr>
      <w:r>
        <w:rPr/>
        <w:t xml:space="preserve">(b) For any weeks of unemployment insurance benefits when the one week waiting period is partially paid or partially reimbursed by the federal government, the department may, by rule, elect to waive subsection (1)(d) of this section.</w:t>
      </w:r>
    </w:p>
    <w:p>
      <w:pPr>
        <w:spacing w:before="0" w:after="0" w:line="408" w:lineRule="exact"/>
        <w:ind w:left="0" w:right="0" w:firstLine="576"/>
        <w:jc w:val="left"/>
      </w:pPr>
      <w:r>
        <w:rPr/>
        <w:t xml:space="preserve">(4) During the weeks of a public health emergency, an unemployed individual may also meet the requirements of subsection (1)(c) of this section if:</w:t>
      </w:r>
    </w:p>
    <w:p>
      <w:pPr>
        <w:spacing w:before="0" w:after="0" w:line="408" w:lineRule="exact"/>
        <w:ind w:left="0" w:right="0" w:firstLine="576"/>
        <w:jc w:val="left"/>
      </w:pPr>
      <w:r>
        <w:rPr/>
        <w:t xml:space="preserve">(a) The unemployed individual is able to perform, available to perform, and actively seeking suitable work which can be performed for an employer from the individual's home; and</w:t>
      </w:r>
    </w:p>
    <w:p>
      <w:pPr>
        <w:spacing w:before="0" w:after="0" w:line="408" w:lineRule="exact"/>
        <w:ind w:left="0" w:right="0" w:firstLine="576"/>
        <w:jc w:val="left"/>
      </w:pPr>
      <w:r>
        <w:rPr/>
        <w:t xml:space="preserve">(b) The unemployed individual or another individual residing with the unemployed individual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w:t>
      </w:r>
    </w:p>
    <w:p>
      <w:pPr>
        <w:spacing w:before="0" w:after="0" w:line="408" w:lineRule="exact"/>
        <w:ind w:left="0" w:right="0" w:firstLine="576"/>
        <w:jc w:val="left"/>
      </w:pPr>
      <w:r>
        <w:rPr/>
        <w:t xml:space="preserve">(A) The federal centers for disease control and prevention;</w:t>
      </w:r>
    </w:p>
    <w:p>
      <w:pPr>
        <w:spacing w:before="0" w:after="0" w:line="408" w:lineRule="exact"/>
        <w:ind w:left="0" w:right="0" w:firstLine="576"/>
        <w:jc w:val="left"/>
      </w:pPr>
      <w:r>
        <w:rPr/>
        <w:t xml:space="preserve">(B) The department of health; or</w:t>
      </w:r>
    </w:p>
    <w:p>
      <w:pPr>
        <w:spacing w:before="0" w:after="0" w:line="408" w:lineRule="exact"/>
        <w:ind w:left="0" w:right="0" w:firstLine="576"/>
        <w:jc w:val="left"/>
      </w:pPr>
      <w:r>
        <w:rPr/>
        <w:t xml:space="preserve">(C)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w:t>
      </w:r>
    </w:p>
    <w:p>
      <w:pPr>
        <w:spacing w:before="0" w:after="0" w:line="408" w:lineRule="exact"/>
        <w:ind w:left="0" w:right="0" w:firstLine="576"/>
        <w:jc w:val="left"/>
      </w:pPr>
      <w:r>
        <w:rPr/>
        <w:t xml:space="preserve">(A) The federal centers for disease control and prevention;</w:t>
      </w:r>
    </w:p>
    <w:p>
      <w:pPr>
        <w:spacing w:before="0" w:after="0" w:line="408" w:lineRule="exact"/>
        <w:ind w:left="0" w:right="0" w:firstLine="576"/>
        <w:jc w:val="left"/>
      </w:pPr>
      <w:r>
        <w:rPr/>
        <w:t xml:space="preserve">(B) The department of health; or</w:t>
      </w:r>
    </w:p>
    <w:p>
      <w:pPr>
        <w:spacing w:before="0" w:after="0" w:line="408" w:lineRule="exact"/>
        <w:ind w:left="0" w:right="0" w:firstLine="576"/>
        <w:jc w:val="left"/>
      </w:pPr>
      <w:r>
        <w:rPr/>
        <w:t xml:space="preserve">(C) The equivalent agency in the state where the individual resides.</w:t>
      </w:r>
    </w:p>
    <w:p>
      <w:pPr>
        <w:spacing w:before="0" w:after="0" w:line="408" w:lineRule="exact"/>
        <w:ind w:left="0" w:right="0" w:firstLine="576"/>
        <w:jc w:val="left"/>
      </w:pPr>
      <w:r>
        <w:rPr>
          <w:u w:val="single"/>
        </w:rPr>
        <w:t xml:space="preserve">(5) During the weeks of a public health emergency, an unemployed individual may also meet the requirements of subsection (1)(c) of this section if the unemployed individual described in RCW 50.20.050(3) and 50.29.021(1)(c)(iii) is able to perform, available to perform, and actively seeking suitable work which will commence after quarantine or which can be performed for an employer from the individual's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2021 c 2 s 10 are each amended to read as follows:</w:t>
      </w:r>
    </w:p>
    <w:p>
      <w:pPr>
        <w:spacing w:before="0" w:after="0" w:line="408" w:lineRule="exact"/>
        <w:ind w:left="0" w:right="0" w:firstLine="576"/>
        <w:jc w:val="left"/>
      </w:pPr>
      <w:r>
        <w:rPr/>
        <w:t xml:space="preserve">(1) With respect to separations that occur on or after September 6, 2009, and for separations that occur before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left work voluntarily without good cause and thereafter for seven calendar weeks and until the claimant obtains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w:t>
      </w:r>
      <w:r>
        <w:t>((</w:t>
      </w:r>
      <w:r>
        <w:rPr>
          <w:strike/>
        </w:rPr>
        <w:t xml:space="preserve">the</w:t>
      </w:r>
      <w:r>
        <w:t>))</w:t>
      </w:r>
      <w:r>
        <w:rPr/>
        <w:t xml:space="preserve">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claimant's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 </w:t>
      </w:r>
    </w:p>
    <w:p>
      <w:pPr>
        <w:spacing w:before="0" w:after="0" w:line="408" w:lineRule="exact"/>
        <w:ind w:left="0" w:right="0" w:firstLine="576"/>
        <w:jc w:val="left"/>
      </w:pPr>
      <w:r>
        <w:rPr/>
        <w:t xml:space="preserve">(x) The claimant's usual work was changed to work that violates the claimant's religious convictions or sincere moral beliefs; or</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w:t>
      </w:r>
    </w:p>
    <w:p>
      <w:pPr>
        <w:spacing w:before="0" w:after="0" w:line="408" w:lineRule="exact"/>
        <w:ind w:left="0" w:right="0" w:firstLine="576"/>
        <w:jc w:val="left"/>
      </w:pPr>
      <w:r>
        <w:rPr/>
        <w:t xml:space="preserve">(2) With respect to separations that occur on or after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has left work voluntarily without good cause and thereafter for seven calendar weeks and until the claimant has obtained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made reasonable efforts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 or</w:t>
      </w:r>
    </w:p>
    <w:p>
      <w:pPr>
        <w:spacing w:before="0" w:after="0" w:line="408" w:lineRule="exact"/>
        <w:ind w:left="0" w:right="0" w:firstLine="576"/>
        <w:jc w:val="left"/>
      </w:pPr>
      <w:r>
        <w:rPr/>
        <w:t xml:space="preserve">(xii) During a public health emergency:</w:t>
      </w:r>
    </w:p>
    <w:p>
      <w:pPr>
        <w:spacing w:before="0" w:after="0" w:line="408" w:lineRule="exact"/>
        <w:ind w:left="0" w:right="0" w:firstLine="576"/>
        <w:jc w:val="left"/>
      </w:pPr>
      <w:r>
        <w:rPr/>
        <w:t xml:space="preserve">(A) The claimant was unable to perform the claimant's work for the employer from the claimant's home;</w:t>
      </w:r>
    </w:p>
    <w:p>
      <w:pPr>
        <w:spacing w:before="0" w:after="0" w:line="408" w:lineRule="exact"/>
        <w:ind w:left="0" w:right="0" w:firstLine="576"/>
        <w:jc w:val="left"/>
      </w:pPr>
      <w:r>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p>
    <w:p>
      <w:pPr>
        <w:spacing w:before="0" w:after="0" w:line="408" w:lineRule="exact"/>
        <w:ind w:left="0" w:right="0" w:firstLine="576"/>
        <w:jc w:val="left"/>
      </w:pPr>
      <w:r>
        <w:rPr/>
        <w:t xml:space="preserve">(3) </w:t>
      </w:r>
      <w:r>
        <w:rPr>
          <w:u w:val="single"/>
        </w:rPr>
        <w:t xml:space="preserve">With respect to claims that occur on or after July 4, 2021, a claimant has good cause and is not disqualified from benefits under subsection (2)(a) of this section under the following circumstances, in addition to those listed under subsection (2)(b) of this section, if, during a public health emergency, the claimant worked at a health care facility as defined in RCW 9A.50.010, was directly involved in the delivery of health services, and left work due to entering quarantine because of exposure to or contracting the disease that is the subject of the declaration of the public health emergency.</w:t>
      </w:r>
    </w:p>
    <w:p>
      <w:pPr>
        <w:spacing w:before="0" w:after="0" w:line="408" w:lineRule="exact"/>
        <w:ind w:left="0" w:right="0" w:firstLine="576"/>
        <w:jc w:val="left"/>
      </w:pPr>
      <w:r>
        <w:rPr>
          <w:u w:val="single"/>
        </w:rPr>
        <w:t xml:space="preserve">(4)</w:t>
      </w:r>
      <w:r>
        <w:rPr/>
        <w:t xml:space="preserve"> Notwithstanding subsection (1) of this section, a claimant who was simultaneously employed in full-time employment and part-time employment and is otherwise eligible for benefits from the loss of the full-time employment shall not be disqualified from benefits because the claimant:</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the claimant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2021 c 2 s 16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w:t>
      </w:r>
      <w:r>
        <w:t>((</w:t>
      </w:r>
      <w:r>
        <w:rPr>
          <w:strike/>
        </w:rPr>
        <w:t xml:space="preserve">or</w:t>
      </w:r>
      <w:r>
        <w:t>))</w:t>
      </w:r>
    </w:p>
    <w:p>
      <w:pPr>
        <w:spacing w:before="0" w:after="0" w:line="408" w:lineRule="exact"/>
        <w:ind w:left="0" w:right="0" w:firstLine="576"/>
        <w:jc w:val="left"/>
      </w:pPr>
      <w:r>
        <w:rPr/>
        <w:t xml:space="preserve">(ii) RCW 50.20.050 (1)(b) (v) through (x) or (2)(b) (v) through (x)</w:t>
      </w:r>
      <w:r>
        <w:rPr>
          <w:u w:val="single"/>
        </w:rPr>
        <w:t xml:space="preserve">; or</w:t>
      </w:r>
    </w:p>
    <w:p>
      <w:pPr>
        <w:spacing w:before="0" w:after="0" w:line="408" w:lineRule="exact"/>
        <w:ind w:left="0" w:right="0" w:firstLine="576"/>
        <w:jc w:val="left"/>
      </w:pPr>
      <w:r>
        <w:rPr>
          <w:u w:val="single"/>
        </w:rPr>
        <w:t xml:space="preserve">(iii) During a public health emergency, the claimant worked at a health care facility as defined in RCW 9A.50.010, was directly involved in the delivery of health services, and was terminated from work due to entering quarantine because of exposure to or contracting the disease that is the subject of the declaration of the public health emergency</w:t>
      </w:r>
      <w:r>
        <w:rPr/>
        <w:t xml:space="preserve">.</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w:t>
      </w:r>
      <w:r>
        <w:t>((</w:t>
      </w:r>
      <w:r>
        <w:rPr>
          <w:strike/>
        </w:rPr>
        <w:t xml:space="preserve">or</w:t>
      </w:r>
      <w:r>
        <w:t>))</w:t>
      </w:r>
      <w:r>
        <w:rPr>
          <w:u w:val="single"/>
        </w:rPr>
        <w:t xml:space="preserve">,</w:t>
      </w:r>
      <w:r>
        <w:rPr/>
        <w:t xml:space="preserve"> (2)(b) (iv), (xi), or (xii), </w:t>
      </w:r>
      <w:r>
        <w:rPr>
          <w:u w:val="single"/>
        </w:rPr>
        <w:t xml:space="preserve">or (3),</w:t>
      </w:r>
      <w:r>
        <w:rPr/>
        <w:t xml:space="preserve"> as applicable, shall not be charged to the experience rating account of any contribution paying employer.</w:t>
      </w:r>
    </w:p>
    <w:p>
      <w:pPr>
        <w:spacing w:before="0" w:after="0" w:line="408" w:lineRule="exact"/>
        <w:ind w:left="0" w:right="0" w:firstLine="576"/>
        <w:jc w:val="left"/>
      </w:pPr>
      <w:r>
        <w:rPr/>
        <w:t xml:space="preserve">(f)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(h)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 or to the presence of any dangerous, contagious, or infectious disease that is the subject of a public health emergency at the employer's plant, building, worksite, or other facility;</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(vii) Worked for an employer for </w:t>
      </w:r>
      <w:r>
        <w:t>((</w:t>
      </w:r>
      <w:r>
        <w:rPr>
          <w:strike/>
        </w:rPr>
        <w:t xml:space="preserve">twenty</w:t>
      </w:r>
      <w:r>
        <w:t>))</w:t>
      </w:r>
      <w:r>
        <w:rPr/>
        <w:t xml:space="preserve"> </w:t>
      </w:r>
      <w:r>
        <w:rPr>
          <w:u w:val="single"/>
        </w:rPr>
        <w:t xml:space="preserve">20</w:t>
      </w:r>
      <w:r>
        <w:rPr/>
        <w:t xml:space="preserve"> weeks or less, and was laid off at the end of temporary employment when that employee temporarily replaced a permanent employee receiving family or medical leave benefits under Title 50A RCW, and the layoff is due to the return of that permanent employee. This subsection (3)(a)(vii) applies to claims with an effective date on or after January 1, 2020; or</w:t>
      </w:r>
    </w:p>
    <w:p>
      <w:pPr>
        <w:spacing w:before="0" w:after="0" w:line="408" w:lineRule="exact"/>
        <w:ind w:left="0" w:right="0" w:firstLine="576"/>
        <w:jc w:val="left"/>
      </w:pPr>
      <w:r>
        <w:rPr/>
        <w:t xml:space="preserve">(viii)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sections 1 through 4 of this act is found to be in conflict with federal requirements that are a prescribed condition to the allocation of federal funds to the state or the eligibility of employers in this state for federal unemployment tax credits, the conflicting part of sections 1 through 4 of this act is inoperative solely to the extent of the conflict, and the finding or determination does not affect the operation of the remainder of sections 1 through 4 of this act. Rules adopted under sections 1 through 4 of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For health care employees who are covered under this title, there exists a prima facie presumption that any infectious or contagious diseases which are the subject of a public health emergency are occupational diseases under RCW 51.08.140 during a public health emergency. There is a presumption that the health care employee contracted or was exposed to the disease at the health care facility.</w:t>
      </w:r>
    </w:p>
    <w:p>
      <w:pPr>
        <w:spacing w:before="0" w:after="0" w:line="408" w:lineRule="exact"/>
        <w:ind w:left="0" w:right="0" w:firstLine="576"/>
        <w:jc w:val="left"/>
      </w:pPr>
      <w:r>
        <w:rPr/>
        <w:t xml:space="preserve">(2) The health care employee must provide verification, as required by the department by rule, to the department or the self-insurer that the employee is in quarantine or has contracted the disease after exposure to the infectious or contagious disease that is the subject of the public health emergency.</w:t>
      </w:r>
    </w:p>
    <w:p>
      <w:pPr>
        <w:spacing w:before="0" w:after="0" w:line="408" w:lineRule="exact"/>
        <w:ind w:left="0" w:right="0" w:firstLine="576"/>
        <w:jc w:val="left"/>
      </w:pPr>
      <w:r>
        <w:rPr/>
        <w:t xml:space="preserve">(3) This presumption of occupational disease may be rebutted by clear and convincing evidence that:</w:t>
      </w:r>
    </w:p>
    <w:p>
      <w:pPr>
        <w:spacing w:before="0" w:after="0" w:line="408" w:lineRule="exact"/>
        <w:ind w:left="0" w:right="0" w:firstLine="576"/>
        <w:jc w:val="left"/>
      </w:pPr>
      <w:r>
        <w:rPr/>
        <w:t xml:space="preserve">(a) The exposure to the infectious or contagious disease which is the subject of the public health emergency occurred from other employment or nonemployment activities; or</w:t>
      </w:r>
    </w:p>
    <w:p>
      <w:pPr>
        <w:spacing w:before="0" w:after="0" w:line="408" w:lineRule="exact"/>
        <w:ind w:left="0" w:right="0" w:firstLine="576"/>
        <w:jc w:val="left"/>
      </w:pPr>
      <w:r>
        <w:rPr/>
        <w:t xml:space="preserve">(b) The employee was working from the employee's home or other location not under the employer's control, on leave from the employee's employment, or some combination thereof, for the period of quarantine outlined for the disease immediately prior to the employee's date of disease contraction or period of incapacity resulting from exposure to the disease which is the subject of the public health emergency.</w:t>
      </w:r>
    </w:p>
    <w:p>
      <w:pPr>
        <w:spacing w:before="0" w:after="0" w:line="408" w:lineRule="exact"/>
        <w:ind w:left="0" w:right="0" w:firstLine="576"/>
        <w:jc w:val="left"/>
      </w:pPr>
      <w:r>
        <w:rPr/>
        <w:t xml:space="preserve">(4) For health care employees whose claims are allowed under this section, temporary total disability benefits as provided in RCW 51.32.090 shall be payable beginning the first day the worker is directed to quarantine or is unable to work due to the exposure or contraction of the disease, whichever comes first. If leave or similar benefits are paid to the worker as part of a federal or state program for these employees during the public health emergency, total temporary disability benefits are not payable for the same period of time covered by this federal or state program.</w:t>
      </w:r>
    </w:p>
    <w:p>
      <w:pPr>
        <w:spacing w:before="0" w:after="0" w:line="408" w:lineRule="exact"/>
        <w:ind w:left="0" w:right="0" w:firstLine="576"/>
        <w:jc w:val="left"/>
      </w:pPr>
      <w:r>
        <w:rPr/>
        <w:t xml:space="preserve">(5)(a) When a determination involving the presumption established under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the worker's beneficiary by the opposing party. If the opposing party is a state fund employer or retrospective rating group, the costs and fees are paid by the employer or retrospective rating group.</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the worker's beneficiary by the opposing party. If the opposing party is a state fund employer or retrospective rating group, the costs and fees are paid by the employer or retrospective rating group.</w:t>
      </w:r>
    </w:p>
    <w:p>
      <w:pPr>
        <w:spacing w:before="0" w:after="0" w:line="408" w:lineRule="exact"/>
        <w:ind w:left="0" w:right="0" w:firstLine="576"/>
        <w:jc w:val="left"/>
      </w:pPr>
      <w:r>
        <w:rPr/>
        <w:t xml:space="preserve">(c) When reasonable costs of the appeal must be paid by the department as the opposing party in a state fund case, the costs shall be paid from the accident fund and charged to the costs of the claim.</w:t>
      </w:r>
    </w:p>
    <w:p>
      <w:pPr>
        <w:spacing w:before="0" w:after="0" w:line="408" w:lineRule="exact"/>
        <w:ind w:left="0" w:right="0" w:firstLine="576"/>
        <w:jc w:val="left"/>
      </w:pPr>
      <w:r>
        <w:rPr/>
        <w:t xml:space="preserve">(6) Costs of claims allowed under this section shall not affect the experience rating of employers insured by the state fund.</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"Health care employee" means an employee of any health care facility or other organization that provides emergency or medical services who may have direct contact with any person who has been exposed to or tested positive for any infectious or contagious diseases which are the subject of a public health emergency.</w:t>
      </w:r>
    </w:p>
    <w:p>
      <w:pPr>
        <w:spacing w:before="0" w:after="0" w:line="408" w:lineRule="exact"/>
        <w:ind w:left="0" w:right="0" w:firstLine="576"/>
        <w:jc w:val="left"/>
      </w:pPr>
      <w:r>
        <w:rPr/>
        <w:t xml:space="preserve">(b) "Health care facility" has the same meaning as in RCW 9A.50.010.</w:t>
      </w:r>
    </w:p>
    <w:p>
      <w:pPr>
        <w:spacing w:before="0" w:after="0" w:line="408" w:lineRule="exact"/>
        <w:ind w:left="0" w:right="0" w:firstLine="576"/>
        <w:jc w:val="left"/>
      </w:pPr>
      <w:r>
        <w:rPr/>
        <w:t xml:space="preserve">(c) "Public health emergency" means a declaration or order that covers the jurisdiction where the employee was working on the date of exposure concerning any dangerous, contagious, or infectious diseases, including a pandemic, and is issued as follows:</w:t>
      </w:r>
    </w:p>
    <w:p>
      <w:pPr>
        <w:spacing w:before="0" w:after="0" w:line="408" w:lineRule="exact"/>
        <w:ind w:left="0" w:right="0" w:firstLine="576"/>
        <w:jc w:val="left"/>
      </w:pPr>
      <w:r>
        <w:rPr/>
        <w:t xml:space="preserve">(i) The president of the United States has declared a national or regional emergency; or</w:t>
      </w:r>
    </w:p>
    <w:p>
      <w:pPr>
        <w:spacing w:before="0" w:after="0" w:line="408" w:lineRule="exact"/>
        <w:ind w:left="0" w:right="0" w:firstLine="576"/>
        <w:jc w:val="left"/>
      </w:pPr>
      <w:r>
        <w:rPr/>
        <w:t xml:space="preserve">(ii) The governor of Washington declared a state of emergency under RCW 43.06.010(12).</w:t>
      </w:r>
    </w:p>
    <w:p>
      <w:pPr>
        <w:spacing w:before="0" w:after="0" w:line="408" w:lineRule="exact"/>
        <w:ind w:left="0" w:right="0" w:firstLine="576"/>
        <w:jc w:val="left"/>
      </w:pPr>
      <w:r>
        <w:rPr/>
        <w:t xml:space="preserve">(8) The presumption in subsection (1) of this section takes effect on the day the national, regional, or state emergency is declared and continues until this declaration is revoked.</w:t>
      </w:r>
    </w:p>
    <w:p>
      <w:pPr>
        <w:spacing w:before="0" w:after="0" w:line="408" w:lineRule="exact"/>
        <w:ind w:left="0" w:right="0" w:firstLine="576"/>
        <w:jc w:val="left"/>
      </w:pPr>
      <w:r>
        <w:rPr/>
        <w:t xml:space="preserve">(9) The provisions of RCW 51.28.055 concerning time limits for filing claims for occupational disease apply to claims covered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52</w:t>
      </w:r>
      <w:r>
        <w:rPr/>
        <w:t xml:space="preserve">.</w:t>
      </w:r>
      <w:r>
        <w:t xml:space="preserve">130</w:t>
      </w:r>
      <w:r>
        <w:rPr/>
        <w:t xml:space="preserve"> and 2007 c 490 s 4 are each amended to read as follows:</w:t>
      </w:r>
    </w:p>
    <w:p>
      <w:pPr>
        <w:spacing w:before="0" w:after="0" w:line="408" w:lineRule="exact"/>
        <w:ind w:left="0" w:right="0" w:firstLine="576"/>
        <w:jc w:val="left"/>
      </w:pPr>
      <w:r>
        <w:rPr/>
        <w:t xml:space="preserve">(1) If, on appeal to the superior or appellate court from the decision and order of the board, said decision and order is reversed or modified and additional relief is granted to a worker or beneficiary, or in cases where a party other than the worker or beneficiary is the appealing party and the worker's or beneficiary's right to relief is sustained, a reasonable fee for the services of the worker's or beneficiary's attorney shall be fixed by the court.</w:t>
      </w:r>
    </w:p>
    <w:p>
      <w:pPr>
        <w:spacing w:before="0" w:after="0" w:line="408" w:lineRule="exact"/>
        <w:ind w:left="0" w:right="0" w:firstLine="576"/>
        <w:jc w:val="left"/>
      </w:pPr>
      <w:r>
        <w:rPr>
          <w:u w:val="single"/>
        </w:rPr>
        <w:t xml:space="preserve">(a)</w:t>
      </w:r>
      <w:r>
        <w:rPr/>
        <w:t xml:space="preserve"> In fixing the fee the court shall take into consideration the fee or fees, if any, fixed by the director and the board for such attorney's services before the department and the board. If the court finds that the fee fixed by the director or by the board is inadequate for services performed before the department or board, or if the director or the board has fixed no fee for such services, then the court shall fix a fee for the attorney's services before the department, or the board, as the case may be, in addition to the fee fixed for the services in the court.</w:t>
      </w:r>
    </w:p>
    <w:p>
      <w:pPr>
        <w:spacing w:before="0" w:after="0" w:line="408" w:lineRule="exact"/>
        <w:ind w:left="0" w:right="0" w:firstLine="576"/>
        <w:jc w:val="left"/>
      </w:pPr>
      <w:r>
        <w:rPr>
          <w:u w:val="single"/>
        </w:rPr>
        <w:t xml:space="preserve">(b)</w:t>
      </w:r>
      <w:r>
        <w:rPr/>
        <w:t xml:space="preserve"> If in a worker or beneficiary appeal the decision and order of the board is reversed or modified and if the accident fund or medical aid fund is affected by the litigation, or if in an appeal by the department or employer the worker or beneficiary's right to relief is sustained, or in an appeal by a worker involving a state fund employer with twenty-five employees or less, in which the department does not appear and defend, and the board order in favor of the employer is sustained, the attorney's fee fixed by the court, for services before the court only, and the fees of medical and other witnesses and the costs shall be payable out of the administrative fund of the department.</w:t>
      </w:r>
    </w:p>
    <w:p>
      <w:pPr>
        <w:spacing w:before="0" w:after="0" w:line="408" w:lineRule="exact"/>
        <w:ind w:left="0" w:right="0" w:firstLine="576"/>
        <w:jc w:val="left"/>
      </w:pPr>
      <w:r>
        <w:rPr>
          <w:u w:val="single"/>
        </w:rPr>
        <w:t xml:space="preserve">(c) In the case where the employer or other person or persons aggrieved by the decision of the board appeal and the worker or beneficiary's right to relief is sustained, the attorneys' fees fixed by the court, for services before the court only, and the fees of medical and other witnesses and the costs shall be payable directly by the person or persons filing the appeal.</w:t>
      </w:r>
    </w:p>
    <w:p>
      <w:pPr>
        <w:spacing w:before="0" w:after="0" w:line="408" w:lineRule="exact"/>
        <w:ind w:left="0" w:right="0" w:firstLine="576"/>
        <w:jc w:val="left"/>
      </w:pPr>
      <w:r>
        <w:rPr>
          <w:u w:val="single"/>
        </w:rPr>
        <w:t xml:space="preserve">(d)</w:t>
      </w:r>
      <w:r>
        <w:rPr/>
        <w:t xml:space="preserve"> In the case of self-insured employers, the attorney fees fixed by the court, for services before the court only, and the fees of medical and other witnesses and the costs shall be payable directly by the self-insured employer.</w:t>
      </w:r>
    </w:p>
    <w:p>
      <w:pPr>
        <w:spacing w:before="0" w:after="0" w:line="408" w:lineRule="exact"/>
        <w:ind w:left="0" w:right="0" w:firstLine="576"/>
        <w:jc w:val="left"/>
      </w:pPr>
      <w:r>
        <w:rPr/>
        <w:t xml:space="preserve">(2) In an appeal to the superior or appellate court involving the presumption established under RCW 51.32.185, the attorney's fee </w:t>
      </w:r>
      <w:r>
        <w:rPr>
          <w:u w:val="single"/>
        </w:rPr>
        <w:t xml:space="preserve">and costs</w:t>
      </w:r>
      <w:r>
        <w:rPr/>
        <w:t xml:space="preserve"> shall be payable as set forth under RCW 51.32.185.</w:t>
      </w:r>
    </w:p>
    <w:p>
      <w:pPr>
        <w:spacing w:before="0" w:after="0" w:line="408" w:lineRule="exact"/>
        <w:ind w:left="0" w:right="0" w:firstLine="576"/>
        <w:jc w:val="left"/>
      </w:pPr>
      <w:r>
        <w:rPr>
          <w:u w:val="single"/>
        </w:rPr>
        <w:t xml:space="preserve">(3) In an appeal to the superior or appellate court involving the presumption established under section 6 of this act, the attorneys' fees and costs shall be payable as set forth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Where an appealing party, other than the department or a self-insured employer, is ordered to pay attorneys' fees and costs and that party fails, refuses, or neglects to comply with the award, which has become final and is not subject to review or appeal, the director or any person entitled to compensation under the order may institute proceedings for injunctive or other appropriate relief for enforcement of the order. These proceedings may be instituted in the superior court for the county in which the claimant resides, or, if the claimant is not then a resident of this state, in the superior court for the county in which that party may be served with process.</w:t>
      </w:r>
    </w:p>
    <w:p>
      <w:pPr>
        <w:spacing w:before="0" w:after="0" w:line="408" w:lineRule="exact"/>
        <w:ind w:left="0" w:right="0" w:firstLine="576"/>
        <w:jc w:val="left"/>
      </w:pPr>
      <w:r>
        <w:rPr/>
        <w:t xml:space="preserve">(2) The court shall ensure compliance to the order by proper means, enjoining compliance upon the person obligated to comply with the compensation order. The court may issue such writs and processes as are necessary to carry out its orders.</w:t>
      </w:r>
    </w:p>
    <w:p>
      <w:pPr>
        <w:spacing w:before="0" w:after="0" w:line="408" w:lineRule="exact"/>
        <w:ind w:left="0" w:right="0" w:firstLine="576"/>
        <w:jc w:val="left"/>
      </w:pPr>
      <w:r>
        <w:rPr/>
        <w:t xml:space="preserve">(3) A proceeding under this section does not preclude other methods of enforcement provided for in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d9a68f21e6b42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164097ce144e86" /><Relationship Type="http://schemas.openxmlformats.org/officeDocument/2006/relationships/footer" Target="/word/footer1.xml" Id="Rdd9a68f21e6b4281" /></Relationships>
</file>