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dfba22501440f" /></Relationships>
</file>

<file path=word/document.xml><?xml version="1.0" encoding="utf-8"?>
<w:document xmlns:w="http://schemas.openxmlformats.org/wordprocessingml/2006/main">
  <w:body>
    <w:p>
      <w:r>
        <w:t>S-1303.2</w:t>
      </w:r>
    </w:p>
    <w:p>
      <w:pPr>
        <w:jc w:val="center"/>
      </w:pPr>
      <w:r>
        <w:t>_______________________________________________</w:t>
      </w:r>
    </w:p>
    <w:p/>
    <w:p>
      <w:pPr>
        <w:jc w:val="center"/>
      </w:pPr>
      <w:r>
        <w:rPr>
          <w:b/>
        </w:rPr>
        <w:t>SECOND SUBSTITUTE SENATE BILL 5259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Nobles, Carlyle, Darneille, Das, Dhingra, Frockt, Hasegawa, Hunt, Keiser, Kuderer, Liias, Lovelett, Nguyen, Pedersen, Randall, Robinson, Saldaña, Stanford, Wellman, and Wilson, C.; by request of Attorney General)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are focused on the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by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data and analysis in a searchable format published on a website by the contractor, including dashboards produced for agency use and methodologies employed in meeting requirements identified in this section, as long as any publication of those materials does not include personally identifiable information;</w:t>
      </w:r>
    </w:p>
    <w:p>
      <w:pPr>
        <w:spacing w:before="0" w:after="0" w:line="408" w:lineRule="exact"/>
        <w:ind w:left="0" w:right="0" w:firstLine="576"/>
        <w:jc w:val="left"/>
      </w:pPr>
      <w:r>
        <w:rPr/>
        <w:t xml:space="preserve">(ii) Access to deidentified raw and/or refined data for academic research;</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The advisory group may make recommendations in the following areas if time and resources allow:</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 and</w:t>
      </w:r>
    </w:p>
    <w:p>
      <w:pPr>
        <w:spacing w:before="0" w:after="0" w:line="408" w:lineRule="exact"/>
        <w:ind w:left="0" w:right="0" w:firstLine="576"/>
        <w:jc w:val="left"/>
      </w:pPr>
      <w:r>
        <w:rPr/>
        <w:t xml:space="preserve">(iii) Incorporating available historical data to identify long-term trends and patterns.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 The office of the attorney general is the sole authority to select and award the contract to the institution of higher education.</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0ceb66b867ef44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026f1b14d46f4" /><Relationship Type="http://schemas.openxmlformats.org/officeDocument/2006/relationships/footer" Target="/word/footer1.xml" Id="R0ceb66b867ef440f" /></Relationships>
</file>