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3231a3eb3d4db3" /></Relationships>
</file>

<file path=word/document.xml><?xml version="1.0" encoding="utf-8"?>
<w:document xmlns:w="http://schemas.openxmlformats.org/wordprocessingml/2006/main">
  <w:body>
    <w:p>
      <w:r>
        <w:t>S-0516.1</w:t>
      </w:r>
    </w:p>
    <w:p>
      <w:pPr>
        <w:jc w:val="center"/>
      </w:pPr>
      <w:r>
        <w:t>_______________________________________________</w:t>
      </w:r>
    </w:p>
    <w:p/>
    <w:p>
      <w:pPr>
        <w:jc w:val="center"/>
      </w:pPr>
      <w:r>
        <w:rPr>
          <w:b/>
        </w:rPr>
        <w:t>SENATE BILL 5313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Randall, Darneille, Das, Dhingra, Frockt, Hunt, Keiser, Kuderer, Lovelett, Nguyen, Nobles, Pedersen, Robinson, Stanford, Van De Wege, and Wilson, C.</w:t>
      </w:r>
    </w:p>
    <w:p/>
    <w:p>
      <w:r>
        <w:rPr>
          <w:t xml:space="preserve">Read first time 01/20/21.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insurance discrimination; amending RCW 49.60.178 and 41.05.017; and reenacting and amending RCW 49.60.040 and 48.30.300.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2020 c 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"Adverse benefit determination" means a denial, reduction, or termination of a benefit,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a benefit,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u w:val="single"/>
        </w:rPr>
        <w:t xml:space="preserve">(2)</w:t>
      </w:r>
      <w:r>
        <w:rPr/>
        <w:t xml:space="preserve">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"Commission" means the Washington state human rights commission.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"Complainant" means the person who files a complaint in a real estate transaction.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genitor-urinary [genitourinary]</w:t>
      </w:r>
      <w:r>
        <w:t>))</w:t>
      </w:r>
      <w:r>
        <w:rPr/>
        <w:t xml:space="preserve"> </w:t>
      </w:r>
      <w:r>
        <w:rPr>
          <w:u w:val="single"/>
        </w:rPr>
        <w:t xml:space="preserve">genitourinary</w:t>
      </w:r>
      <w:r>
        <w:rPr/>
        <w:t xml:space="preserve">,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"Employee" does not include any individual employed by his or her parents, spouse, or child, or in the domestic service of any person.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"Employment agency" includes any person undertaking with or without compensation to recruit, procure, refer, or place employees for an employer.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t>((</w:t>
      </w:r>
      <w:r>
        <w:rPr>
          <w:strike/>
        </w:rPr>
        <w:t xml:space="preserve">(15)</w:t>
      </w:r>
      <w:r>
        <w:t>))</w:t>
      </w:r>
      <w:r>
        <w:rPr/>
        <w:t xml:space="preserve"> </w:t>
      </w:r>
      <w:r>
        <w:rPr>
          <w:u w:val="single"/>
        </w:rPr>
        <w:t xml:space="preserve">(16) "Gender affirming treatment" means a service or product that a health care provider, as defined in RCW 70.02.010, prescribes to an individual to address the specific needs of that patient, to alleviate suffering, and/or address a condition, related to an individual's protected gender identity characteristics and/or allows the individual to acquire primary and/or secondary sex characteristics more aligned with an individual's gender identity. Gender affirming treatment includes, but is not limited to, treatment for gender dysphoria. Gender affirming treatment can be prescribed to two spirit, transgender, nonbinary, and other gender diverse individuals.</w:t>
      </w:r>
    </w:p>
    <w:p>
      <w:pPr>
        <w:spacing w:before="0" w:after="0" w:line="408" w:lineRule="exact"/>
        <w:ind w:left="0" w:right="0" w:firstLine="576"/>
        <w:jc w:val="left"/>
      </w:pPr>
      <w:r>
        <w:rPr>
          <w:u w:val="single"/>
        </w:rPr>
        <w:t xml:space="preserve">(17) "Health carrier" has the same meaning as in RCW 48.43.005 and, for the purpose of this chapter only, includes health plans offered under chapter 41.05 RCW.</w:t>
      </w:r>
    </w:p>
    <w:p>
      <w:pPr>
        <w:spacing w:before="0" w:after="0" w:line="408" w:lineRule="exact"/>
        <w:ind w:left="0" w:right="0" w:firstLine="576"/>
        <w:jc w:val="left"/>
      </w:pPr>
      <w:r>
        <w:rPr>
          <w:u w:val="single"/>
        </w:rPr>
        <w:t xml:space="preserve">(18)</w:t>
      </w:r>
      <w:r>
        <w:rPr/>
        <w:t xml:space="preserve">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"Marital status" means the legal status of being married, single, separated, divorced, or widowed.</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"National origin" includes "ancestry."</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"Race" is inclusive of traits historically associated or perceived to be associated with race including, but not limited to, hair texture and protective hairstyles. For purposes of this subsection, "protective hairstyles" includes, but is not limited to, such hairstyles as afros, braids, locks, and twists.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"Respondent" means any person accused in a complaint or amended complaint of an unfair practice in a real estate transaction.</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"Sex" means gender.</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178</w:t>
      </w:r>
      <w:r>
        <w:rPr/>
        <w:t xml:space="preserve"> and 2020 c 52 s 9 are each amended to read as follows:</w:t>
      </w:r>
    </w:p>
    <w:p>
      <w:pPr>
        <w:spacing w:before="0" w:after="0" w:line="408" w:lineRule="exact"/>
        <w:ind w:left="0" w:right="0" w:firstLine="576"/>
        <w:jc w:val="left"/>
      </w:pPr>
      <w:r>
        <w:rPr>
          <w:u w:val="single"/>
        </w:rPr>
        <w:t xml:space="preserve">(1)</w:t>
      </w:r>
      <w:r>
        <w:rPr/>
        <w:t xml:space="preserve"> It is an unfair practice for any person whether acting for himself, herself, or another in connection with an insurance transaction or transaction with a health maintenance organization to cancel or fail or refuse to issue or renew insurance or a health maintenance agreement to any person because of sex, marital status, sexual orientation, race, creed, color, national origin, citizenship or immigration status, or the presence of any sensory, mental, or physical disability or the use of a trained dog guide or service animal by a person with disabilities: PROVIDED, That a practice which is not unlawful under RCW 48.30.300, 48.44.220, or 48.46.370 does not constitute an unfair practice for the purposes of this section. For the purposes of this section, "insurance transaction" is defined in RCW 48.01.060, health maintenance agreement is defined in RCW 48.46.020, and "health maintenance organization" is defined in RCW 48.46.020.</w:t>
      </w:r>
    </w:p>
    <w:p>
      <w:pPr>
        <w:spacing w:before="0" w:after="0" w:line="408" w:lineRule="exact"/>
        <w:ind w:left="0" w:right="0" w:firstLine="576"/>
        <w:jc w:val="left"/>
      </w:pPr>
      <w:r>
        <w:rPr>
          <w:u w:val="single"/>
        </w:rPr>
        <w:t xml:space="preserve">(2) For a health carrier offering a health plan issued or renewed on or after January 1, 2022:</w:t>
      </w:r>
    </w:p>
    <w:p>
      <w:pPr>
        <w:spacing w:before="0" w:after="0" w:line="408" w:lineRule="exact"/>
        <w:ind w:left="0" w:right="0" w:firstLine="576"/>
        <w:jc w:val="left"/>
      </w:pPr>
      <w:r>
        <w:rPr>
          <w:u w:val="single"/>
        </w:rPr>
        <w:t xml:space="preserve">(a) It is an unfair practice to issue an adverse benefit determination for gender affirming treatment when that care is prescribed to an individual because of, related to, or consistent with a protected gender identity characteristic under RCW 49.60.040 and is medically necessary.</w:t>
      </w:r>
    </w:p>
    <w:p>
      <w:pPr>
        <w:spacing w:before="0" w:after="0" w:line="408" w:lineRule="exact"/>
        <w:ind w:left="0" w:right="0" w:firstLine="576"/>
        <w:jc w:val="left"/>
      </w:pPr>
      <w:r>
        <w:rPr>
          <w:u w:val="single"/>
        </w:rPr>
        <w:t xml:space="preserve">(b) It is unfair practice to apply categorical cosmetic or blanket exclusions to gender affirming treatment.</w:t>
      </w:r>
    </w:p>
    <w:p>
      <w:pPr>
        <w:spacing w:before="0" w:after="0" w:line="408" w:lineRule="exact"/>
        <w:ind w:left="0" w:right="0" w:firstLine="576"/>
        <w:jc w:val="left"/>
      </w:pPr>
      <w:r>
        <w:rPr>
          <w:u w:val="single"/>
        </w:rPr>
        <w:t xml:space="preserve">(c) Facial feminization surgeries and facial gender affirming treatment, such as tracheal shaves, hair electrolysis, and other care such as mastectomies, breast reductions, and breast implants, or any combination of gender affirming procedures, when prescribed as gender affirming treatment and are medically necessary, shall not be excluded as cosmetic.</w:t>
      </w:r>
    </w:p>
    <w:p>
      <w:pPr>
        <w:spacing w:before="0" w:after="0" w:line="408" w:lineRule="exact"/>
        <w:ind w:left="0" w:right="0" w:firstLine="576"/>
        <w:jc w:val="left"/>
      </w:pPr>
      <w:r>
        <w:rPr>
          <w:u w:val="single"/>
        </w:rPr>
        <w:t xml:space="preserve">(d) Health carriers must ensure that health care providers who have experience prescribing or delivering gender affirming treatment conduct the utilization reviews pursuant to RCW 48.43.005(45) for any claim for gender affirming treatment. </w:t>
      </w:r>
    </w:p>
    <w:p>
      <w:pPr>
        <w:spacing w:before="0" w:after="0" w:line="408" w:lineRule="exact"/>
        <w:ind w:left="0" w:right="0" w:firstLine="576"/>
        <w:jc w:val="left"/>
      </w:pPr>
      <w:r>
        <w:rPr>
          <w:u w:val="single"/>
        </w:rPr>
        <w:t xml:space="preserve">(e) If the health carrier does not have an adequate network for gender affirming treatment, the health carrier shall ensure the delivery of timely and geographically accessible medically necessary gender affirming treatment at no greater expense than if the health carrier had an in-network, geographically accessible provider available. This includes, but is not limited to, providing case management services to secure out-of-network gender affirming treatment options that are available to the enrollee in a timely manner within their geographic region. The enrollee shall pay no more than the same cost sharing that the enrollee would pay for the same covered services received from an in-network provider.</w:t>
      </w:r>
    </w:p>
    <w:p>
      <w:pPr>
        <w:spacing w:before="0" w:after="0" w:line="408" w:lineRule="exact"/>
        <w:ind w:left="0" w:right="0" w:firstLine="576"/>
        <w:jc w:val="left"/>
      </w:pPr>
      <w:r>
        <w:rPr>
          <w:u w:val="single"/>
        </w:rPr>
        <w:t xml:space="preserve">(3) Subsections (1) and (2) of this section apply to health plans under chapter 74.09 RCW and all employee benefit plans pursuant to RCW 41.05.075.</w:t>
      </w:r>
    </w:p>
    <w:p>
      <w:pPr>
        <w:spacing w:before="0" w:after="0" w:line="408" w:lineRule="exact"/>
        <w:ind w:left="0" w:right="0" w:firstLine="576"/>
        <w:jc w:val="left"/>
      </w:pPr>
      <w:r>
        <w:rPr>
          <w:u w:val="single"/>
        </w:rPr>
        <w:t xml:space="preserve">(4)</w:t>
      </w:r>
      <w:r>
        <w:rPr/>
        <w:t xml:space="preserve"> The fact that such unfair practice may also be a violation of chapter 48.30, 48.44, or 48.46 RCW does not constitute a defense to an action brought under this section.</w:t>
      </w:r>
    </w:p>
    <w:p>
      <w:pPr>
        <w:spacing w:before="0" w:after="0" w:line="408" w:lineRule="exact"/>
        <w:ind w:left="0" w:right="0" w:firstLine="576"/>
        <w:jc w:val="left"/>
      </w:pPr>
      <w:r>
        <w:rPr>
          <w:u w:val="single"/>
        </w:rPr>
        <w:t xml:space="preserve">(5)</w:t>
      </w:r>
      <w:r>
        <w:rPr/>
        <w:t xml:space="preserve"> The insurance commissioner, under RCW 48.30.300, and the human rights commission, under chapter 49.60 RCW, shall have concurrent jurisdiction under this section and shall enter into a working agreement as to procedure to be followed in complaints under this section.</w:t>
      </w:r>
    </w:p>
    <w:p>
      <w:pPr>
        <w:spacing w:before="0" w:after="0" w:line="408" w:lineRule="exact"/>
        <w:ind w:left="0" w:right="0" w:firstLine="576"/>
        <w:jc w:val="left"/>
      </w:pPr>
      <w:r>
        <w:rPr>
          <w:u w:val="single"/>
        </w:rPr>
        <w:t xml:space="preserve">(6) The insurance commissioner may adopt rules necessary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2019 c 427 s 21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w:t>
      </w:r>
      <w:r>
        <w:rPr>
          <w:u w:val="single"/>
        </w:rPr>
        <w:t xml:space="preserve">48.30.300,</w:t>
      </w:r>
      <w:r>
        <w:rPr/>
        <w:t xml:space="preserve"> and chapter 48.49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300</w:t>
      </w:r>
      <w:r>
        <w:rPr/>
        <w:t xml:space="preserve"> and 2020 c 274 s 32 and 2020 c 228 s 8 are each reenacted and amended to read as follows:</w:t>
      </w:r>
    </w:p>
    <w:p>
      <w:pPr>
        <w:spacing w:before="0" w:after="0" w:line="408" w:lineRule="exact"/>
        <w:ind w:left="0" w:right="0" w:firstLine="576"/>
        <w:jc w:val="left"/>
      </w:pPr>
      <w:r>
        <w:rPr/>
        <w:t xml:space="preserve">Notwithstanding any provision contained in </w:t>
      </w:r>
      <w:r>
        <w:t>((</w:t>
      </w:r>
      <w:r>
        <w:rPr>
          <w:strike/>
        </w:rPr>
        <w:t xml:space="preserve">Title 48 RCW</w:t>
      </w:r>
      <w:r>
        <w:t>))</w:t>
      </w:r>
      <w:r>
        <w:rPr/>
        <w:t xml:space="preserve"> </w:t>
      </w:r>
      <w:r>
        <w:rPr>
          <w:u w:val="single"/>
        </w:rPr>
        <w:t xml:space="preserve">this title</w:t>
      </w:r>
      <w:r>
        <w:rPr/>
        <w:t xml:space="preserve"> to the contrary:</w:t>
      </w:r>
    </w:p>
    <w:p>
      <w:pPr>
        <w:spacing w:before="0" w:after="0" w:line="408" w:lineRule="exact"/>
        <w:ind w:left="0" w:right="0" w:firstLine="576"/>
        <w:jc w:val="left"/>
      </w:pPr>
      <w:r>
        <w:rPr/>
        <w:t xml:space="preserve">(1) A person or entity engaged in the business of insurance in this state may not refuse to issue any contract of insurance or cancel or decline to renew such contract because of the sex, marital status, or sexual orientation as defined in RCW 49.60.040, or the presence of any disability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disability of the insured or prospective insured.</w:t>
      </w:r>
    </w:p>
    <w:p>
      <w:pPr>
        <w:spacing w:before="0" w:after="0" w:line="408" w:lineRule="exact"/>
        <w:ind w:left="0" w:right="0" w:firstLine="576"/>
        <w:jc w:val="left"/>
      </w:pPr>
      <w:r>
        <w:rPr/>
        <w:t xml:space="preserve">(2) </w:t>
      </w:r>
      <w:r>
        <w:rPr>
          <w:u w:val="single"/>
        </w:rPr>
        <w:t xml:space="preserve">It is an unfair practice to issue an adverse benefit determination for gender affirming treatment when that care is prescribed to an individual because of, related to, or consistent with a protected gender identity characteristic under RCW 49.60.040 and is medically necessary.</w:t>
      </w:r>
    </w:p>
    <w:p>
      <w:pPr>
        <w:spacing w:before="0" w:after="0" w:line="408" w:lineRule="exact"/>
        <w:ind w:left="0" w:right="0" w:firstLine="576"/>
        <w:jc w:val="left"/>
      </w:pPr>
      <w:r>
        <w:rPr>
          <w:u w:val="single"/>
        </w:rPr>
        <w:t xml:space="preserve">(3) It is an unfair practice to apply categorical cosmetic or blanket exclusions to gender affirming treatment.</w:t>
      </w:r>
    </w:p>
    <w:p>
      <w:pPr>
        <w:spacing w:before="0" w:after="0" w:line="408" w:lineRule="exact"/>
        <w:ind w:left="0" w:right="0" w:firstLine="576"/>
        <w:jc w:val="left"/>
      </w:pPr>
      <w:r>
        <w:rPr>
          <w:u w:val="single"/>
        </w:rPr>
        <w:t xml:space="preserve">(4) Facial feminization surgeries and facial gender affirming treatment, such as tracheal shaves, hair electrolysis, and other care such as mastectomies, breast reductions, and breast implants, or any combination of gender affirming procedures, when prescribed as gender affirming treatment and are medically necessary, shall not be excluded as cosmetic.</w:t>
      </w:r>
    </w:p>
    <w:p>
      <w:pPr>
        <w:spacing w:before="0" w:after="0" w:line="408" w:lineRule="exact"/>
        <w:ind w:left="0" w:right="0" w:firstLine="576"/>
        <w:jc w:val="left"/>
      </w:pPr>
      <w:r>
        <w:rPr>
          <w:u w:val="single"/>
        </w:rPr>
        <w:t xml:space="preserve">(5) Health carriers must ensure that health care providers who have experience prescribing or delivering gender affirming treatment conduct the utilization reviews pursuant to RCW 48.43.005(45) for any claim for gender affirming treatment.</w:t>
      </w:r>
    </w:p>
    <w:p>
      <w:pPr>
        <w:spacing w:before="0" w:after="0" w:line="408" w:lineRule="exact"/>
        <w:ind w:left="0" w:right="0" w:firstLine="576"/>
        <w:jc w:val="left"/>
      </w:pPr>
      <w:r>
        <w:rPr>
          <w:u w:val="single"/>
        </w:rPr>
        <w:t xml:space="preserve">(6) If the health carrier does not have an adequate network for gender affirming treatment, the health carrier shall ensure the delivery of timely and geographically accessible medically necessary gender affirming treatment at no greater expense than if the health carrier had an in-network, geographically accessible provider available. This includes, but is not limited to, providing case management services to secure out-of-network gender affirming treatment options that are available to the enrollee in a timely manner within their geographic region. The enrollee shall pay no more than the same cost sharing that the enrollee would pay for the same covered services received from an in-network provider.</w:t>
      </w:r>
    </w:p>
    <w:p>
      <w:pPr>
        <w:spacing w:before="0" w:after="0" w:line="408" w:lineRule="exact"/>
        <w:ind w:left="0" w:right="0" w:firstLine="576"/>
        <w:jc w:val="left"/>
      </w:pPr>
      <w:r>
        <w:rPr>
          <w:u w:val="single"/>
        </w:rPr>
        <w:t xml:space="preserve">(7) Subsections (1) through (6) of this section apply to health plans under chapter 74.09 RCW and all employee benefit plans pursuant to RCW 41.05.075.</w:t>
      </w:r>
    </w:p>
    <w:p>
      <w:pPr>
        <w:spacing w:before="0" w:after="0" w:line="408" w:lineRule="exact"/>
        <w:ind w:left="0" w:right="0" w:firstLine="576"/>
        <w:jc w:val="left"/>
      </w:pPr>
      <w:r>
        <w:rPr>
          <w:u w:val="single"/>
        </w:rPr>
        <w:t xml:space="preserve">(8)</w:t>
      </w:r>
      <w:r>
        <w:rPr/>
        <w:t xml:space="preserve"> Except as provided in RCW 48.43.0128, 48.44.220, or 48.46.370, this subsection does not prohibit fair discrimination on the basis of sex, or marital status, or the presence of any disability when bona fide statistical differences in risk or exposure have been substantiated.</w:t>
      </w:r>
    </w:p>
    <w:p>
      <w:pPr>
        <w:spacing w:before="0" w:after="0" w:line="408" w:lineRule="exact"/>
        <w:ind w:left="0" w:right="0" w:firstLine="576"/>
        <w:jc w:val="left"/>
      </w:pPr>
      <w:r>
        <w:rPr>
          <w:u w:val="single"/>
        </w:rPr>
        <w:t xml:space="preserve">(9) For the purposes of this section, "gender affirming treatment" means a service or product that a health care provider, as defined in RCW 70.02.010, prescribes to an individual to address the specific needs of that patient, to alleviate suffering, and/or address a condition, related to an individual's protected gender identity characteristics and/or allows the individual to acquire primary and/or secondary sex characteristics more aligned with an individual's gender identity. Gender affirming treatment includes, but is not limited to, treatment for gender dysphoria. Gender affirming treatment can be prescribed to two spirit, transgender, nonbinary, and other gender diverse individuals.</w:t>
      </w:r>
    </w:p>
    <w:p/>
    <w:p>
      <w:pPr>
        <w:jc w:val="center"/>
      </w:pPr>
      <w:r>
        <w:rPr>
          <w:b/>
        </w:rPr>
        <w:t>--- END ---</w:t>
      </w:r>
    </w:p>
    <w:sectPr>
      <w:pgNumType w:start="1"/>
      <w:footerReference xmlns:r="http://schemas.openxmlformats.org/officeDocument/2006/relationships" r:id="R882c5a8b0caa4c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de35262f74411c" /><Relationship Type="http://schemas.openxmlformats.org/officeDocument/2006/relationships/footer" Target="/word/footer1.xml" Id="R882c5a8b0caa4c4d" /></Relationships>
</file>