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30d4988204f04" /></Relationships>
</file>

<file path=word/document.xml><?xml version="1.0" encoding="utf-8"?>
<w:document xmlns:w="http://schemas.openxmlformats.org/wordprocessingml/2006/main">
  <w:body>
    <w:p>
      <w:r>
        <w:t>S-1283.1</w:t>
      </w:r>
    </w:p>
    <w:p>
      <w:pPr>
        <w:jc w:val="center"/>
      </w:pPr>
      <w:r>
        <w:t>_______________________________________________</w:t>
      </w:r>
    </w:p>
    <w:p/>
    <w:p>
      <w:pPr>
        <w:jc w:val="center"/>
      </w:pPr>
      <w:r>
        <w:rPr>
          <w:b/>
        </w:rPr>
        <w:t>SUBSTITUTE SENATE BILL 5337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Wilson, L., Gildon, Rivers, Wagoner, and Wilson, J.)</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relief for senior citizens and service-connected disabled veterans; amending RCW 84.36.385; reenacting and amending RCW 84.36.383;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2020 c 209 s 3 are each reenacted and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r>
        <w:t>((</w:t>
      </w:r>
      <w:r>
        <w:rPr>
          <w:strike/>
        </w:rPr>
        <w:t xml:space="preserve">:</w:t>
      </w:r>
    </w:p>
    <w:p>
      <w:pPr>
        <w:spacing w:before="0" w:after="0" w:line="408" w:lineRule="exact"/>
        <w:ind w:left="0" w:right="0" w:firstLine="576"/>
        <w:jc w:val="left"/>
      </w:pPr>
      <w:r>
        <w:rPr>
          <w:strik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strike/>
        </w:rPr>
        <w:t xml:space="preserve">(b) For taxes levied for collection in calendar year 2020 and thereafter,</w:t>
      </w:r>
      <w:r>
        <w:t>))</w:t>
      </w:r>
      <w:r>
        <w:rPr/>
        <w:t xml:space="preserve"> a combined disposable income equal to the greater of </w:t>
      </w:r>
      <w:r>
        <w:t>((</w:t>
      </w:r>
      <w:r>
        <w:rPr>
          <w:strike/>
        </w:rPr>
        <w:t xml:space="preserve">"income threshold 1" for the previous year</w:t>
      </w:r>
      <w:r>
        <w:t>))</w:t>
      </w:r>
      <w:r>
        <w:rPr/>
        <w:t xml:space="preserve"> </w:t>
      </w:r>
      <w:r>
        <w:rPr>
          <w:u w:val="single"/>
        </w:rPr>
        <w:t xml:space="preserve">$35,000</w:t>
      </w:r>
      <w:r>
        <w:rPr/>
        <w:t xml:space="preserve">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r>
        <w:t>((</w:t>
      </w:r>
      <w:r>
        <w:rPr>
          <w:strike/>
        </w:rPr>
        <w:t xml:space="preserve">:</w:t>
      </w:r>
    </w:p>
    <w:p>
      <w:pPr>
        <w:spacing w:before="0" w:after="0" w:line="408" w:lineRule="exact"/>
        <w:ind w:left="0" w:right="0" w:firstLine="576"/>
        <w:jc w:val="left"/>
      </w:pPr>
      <w:r>
        <w:rPr>
          <w:strik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strike/>
        </w:rPr>
        <w:t xml:space="preserve">(b) For taxes levied for collection in calendar year 2020 and thereafter,</w:t>
      </w:r>
      <w:r>
        <w:t>))</w:t>
      </w:r>
      <w:r>
        <w:rPr/>
        <w:t xml:space="preserve"> a combined disposable income equal to the greater of </w:t>
      </w:r>
      <w:r>
        <w:t>((</w:t>
      </w:r>
      <w:r>
        <w:rPr>
          <w:strike/>
        </w:rPr>
        <w:t xml:space="preserve">"income threshold 2" for the previous year</w:t>
      </w:r>
      <w:r>
        <w:t>))</w:t>
      </w:r>
      <w:r>
        <w:rPr/>
        <w:t xml:space="preserve"> </w:t>
      </w:r>
      <w:r>
        <w:rPr>
          <w:u w:val="single"/>
        </w:rPr>
        <w:t xml:space="preserve">$40,000</w:t>
      </w:r>
      <w:r>
        <w:rPr/>
        <w:t xml:space="preserve">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r>
        <w:t>((</w:t>
      </w:r>
      <w:r>
        <w:rPr>
          <w:strike/>
        </w:rPr>
        <w:t xml:space="preserve">:</w:t>
      </w:r>
    </w:p>
    <w:p>
      <w:pPr>
        <w:spacing w:before="0" w:after="0" w:line="408" w:lineRule="exact"/>
        <w:ind w:left="0" w:right="0" w:firstLine="576"/>
        <w:jc w:val="left"/>
      </w:pPr>
      <w:r>
        <w:rPr>
          <w:strik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strike/>
        </w:rPr>
        <w:t xml:space="preserve">(b) For taxes levied for collection in calendar year 2020 and thereafter,</w:t>
      </w:r>
      <w:r>
        <w:t>))</w:t>
      </w:r>
      <w:r>
        <w:rPr/>
        <w:t xml:space="preserve"> a combined disposable income equal to the greater of </w:t>
      </w:r>
      <w:r>
        <w:t>((</w:t>
      </w:r>
      <w:r>
        <w:rPr>
          <w:strike/>
        </w:rPr>
        <w:t xml:space="preserve">"income threshold 3" for the previous year</w:t>
      </w:r>
      <w:r>
        <w:t>))</w:t>
      </w:r>
      <w:r>
        <w:rPr/>
        <w:t xml:space="preserve"> </w:t>
      </w:r>
      <w:r>
        <w:rPr>
          <w:u w:val="single"/>
        </w:rPr>
        <w:t xml:space="preserve">$45,000</w:t>
      </w:r>
      <w:r>
        <w:rPr/>
        <w:t xml:space="preserve">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2020 c 209 s 2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w:t>
      </w:r>
      <w:r>
        <w:t>((</w:t>
      </w:r>
      <w:r>
        <w:rPr>
          <w:strike/>
        </w:rPr>
        <w:t xml:space="preserve">second adjustment</w:t>
      </w:r>
      <w:r>
        <w:t>))</w:t>
      </w:r>
      <w:r>
        <w:rPr/>
        <w:t xml:space="preserve"> </w:t>
      </w:r>
      <w:r>
        <w:rPr>
          <w:u w:val="single"/>
        </w:rPr>
        <w:t xml:space="preserve">fifth year</w:t>
      </w:r>
      <w:r>
        <w:rPr/>
        <w:t xml:space="preserve">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calendar year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4e68d28e28c646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a28ee5f2314859" /><Relationship Type="http://schemas.openxmlformats.org/officeDocument/2006/relationships/footer" Target="/word/footer1.xml" Id="R4e68d28e28c646a1" /></Relationships>
</file>