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72c8e81bc43d3" /></Relationships>
</file>

<file path=word/document.xml><?xml version="1.0" encoding="utf-8"?>
<w:document xmlns:w="http://schemas.openxmlformats.org/wordprocessingml/2006/main">
  <w:body>
    <w:p>
      <w:r>
        <w:t>S-0572.1</w:t>
      </w:r>
    </w:p>
    <w:p>
      <w:pPr>
        <w:jc w:val="center"/>
      </w:pPr>
      <w:r>
        <w:t>_______________________________________________</w:t>
      </w:r>
    </w:p>
    <w:p/>
    <w:p>
      <w:pPr>
        <w:jc w:val="center"/>
      </w:pPr>
      <w:r>
        <w:rPr>
          <w:b/>
        </w:rPr>
        <w:t>SENATE BILL 5355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Any real property in the state of Washington that is owned or subsequently acquired by an officer, vice principal, or agent of the employer, who is personally liable for a wage claim under RCW 49.52.070;</w:t>
      </w:r>
    </w:p>
    <w:p>
      <w:pPr>
        <w:spacing w:before="0" w:after="0" w:line="408" w:lineRule="exact"/>
        <w:ind w:left="0" w:right="0" w:firstLine="576"/>
        <w:jc w:val="left"/>
      </w:pPr>
      <w:r>
        <w:rPr/>
        <w:t xml:space="preserve">(iii) Goods and tangible chattel paper in the state of Washington that are owned or are subsequently acquired by the employee's employer;</w:t>
      </w:r>
    </w:p>
    <w:p>
      <w:pPr>
        <w:spacing w:before="0" w:after="0" w:line="408" w:lineRule="exact"/>
        <w:ind w:left="0" w:right="0" w:firstLine="576"/>
        <w:jc w:val="left"/>
      </w:pPr>
      <w:r>
        <w:rPr/>
        <w:t xml:space="preserve">(iv) Accounts and payment intangibles that are owned or subsequently acquired by the employee's employer;</w:t>
      </w:r>
    </w:p>
    <w:p>
      <w:pPr>
        <w:spacing w:before="0" w:after="0" w:line="408" w:lineRule="exact"/>
        <w:ind w:left="0" w:right="0" w:firstLine="576"/>
        <w:jc w:val="left"/>
      </w:pPr>
      <w:r>
        <w:rPr/>
        <w:t xml:space="preserve">(v) Goods and tangible chattel paper in the state of Washington that are owned or are subsequently acquired by an officer, vice principal, or agent of the employer, who is personally liable for a wage claim under RCW 49.52.070;</w:t>
      </w:r>
    </w:p>
    <w:p>
      <w:pPr>
        <w:spacing w:before="0" w:after="0" w:line="408" w:lineRule="exact"/>
        <w:ind w:left="0" w:right="0" w:firstLine="576"/>
        <w:jc w:val="left"/>
      </w:pPr>
      <w:r>
        <w:rPr/>
        <w:t xml:space="preserve">(vi) Accounts and payment intangibles that are owned or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(vii)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 and the estate of an officer, vice principal, or agent of the employer, who is personally liable for a wage claim under RCW 49.52.070.</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RCW 62A.9A-501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as required under RCW 46.17.005;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including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A description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by the county auditor, and such cancellation shall be evidenced by the recording of the court order.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4(3)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edb0804e0ce9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3dba7a0c44360" /><Relationship Type="http://schemas.openxmlformats.org/officeDocument/2006/relationships/footer" Target="/word/footer1.xml" Id="Redb0804e0ce94bf9" /></Relationships>
</file>