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6c2bf886e34e52" /></Relationships>
</file>

<file path=word/document.xml><?xml version="1.0" encoding="utf-8"?>
<w:document xmlns:w="http://schemas.openxmlformats.org/wordprocessingml/2006/main">
  <w:body>
    <w:p>
      <w:r>
        <w:t>S-2169.1</w:t>
      </w:r>
    </w:p>
    <w:p>
      <w:pPr>
        <w:jc w:val="center"/>
      </w:pPr>
      <w:r>
        <w:t>_______________________________________________</w:t>
      </w:r>
    </w:p>
    <w:p/>
    <w:p>
      <w:pPr>
        <w:jc w:val="center"/>
      </w:pPr>
      <w:r>
        <w:rPr>
          <w:b/>
        </w:rPr>
        <w:t>SENATE BILL 5475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Mullet, Hobbs, Braun, Brown, Dozier, Ericksen, Fortunato, Gildon, Hawkins, Holy, Muzzall, Padden, Rivers, Short, Wagoner, Warnick, Wilson, J., and Wilson, L.</w:t>
      </w:r>
    </w:p>
    <w:p/>
    <w:p>
      <w:r>
        <w:rPr>
          <w:t xml:space="preserve">Read first time 03/22/21.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knowing possession of a controlled substance; reenacting and amending RCW 69.50.4013;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reenacted and amended to read as follows:</w:t>
      </w:r>
    </w:p>
    <w:p>
      <w:pPr>
        <w:spacing w:before="0" w:after="0" w:line="408" w:lineRule="exact"/>
        <w:ind w:left="0" w:right="0" w:firstLine="576"/>
        <w:jc w:val="left"/>
      </w:pPr>
      <w:r>
        <w:rPr/>
        <w:t xml:space="preserve">(1) It is unlawful for any person to </w:t>
      </w:r>
      <w:r>
        <w:rPr>
          <w:u w:val="single"/>
        </w:rPr>
        <w:t xml:space="preserve">knowingly</w:t>
      </w:r>
      <w:r>
        <w:rPr/>
        <w:t xml:space="preserve">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rPr/>
        <w:t xml:space="preserve">(5)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work group on possession of controlled substances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jointly shall appoint:</w:t>
      </w:r>
    </w:p>
    <w:p>
      <w:pPr>
        <w:spacing w:before="0" w:after="0" w:line="408" w:lineRule="exact"/>
        <w:ind w:left="0" w:right="0" w:firstLine="576"/>
        <w:jc w:val="left"/>
      </w:pPr>
      <w:r>
        <w:rPr/>
        <w:t xml:space="preserve">(A) One superior court judge;</w:t>
      </w:r>
    </w:p>
    <w:p>
      <w:pPr>
        <w:spacing w:before="0" w:after="0" w:line="408" w:lineRule="exact"/>
        <w:ind w:left="0" w:right="0" w:firstLine="576"/>
        <w:jc w:val="left"/>
      </w:pPr>
      <w:r>
        <w:rPr/>
        <w:t xml:space="preserve">(B) One drug court judge;</w:t>
      </w:r>
    </w:p>
    <w:p>
      <w:pPr>
        <w:spacing w:before="0" w:after="0" w:line="408" w:lineRule="exact"/>
        <w:ind w:left="0" w:right="0" w:firstLine="576"/>
        <w:jc w:val="left"/>
      </w:pPr>
      <w:r>
        <w:rPr/>
        <w:t xml:space="preserve">(C) One member representing a criminal defender association;</w:t>
      </w:r>
    </w:p>
    <w:p>
      <w:pPr>
        <w:spacing w:before="0" w:after="0" w:line="408" w:lineRule="exact"/>
        <w:ind w:left="0" w:right="0" w:firstLine="576"/>
        <w:jc w:val="left"/>
      </w:pPr>
      <w:r>
        <w:rPr/>
        <w:t xml:space="preserve">(D) One member representing a prosecutor association;</w:t>
      </w:r>
    </w:p>
    <w:p>
      <w:pPr>
        <w:spacing w:before="0" w:after="0" w:line="408" w:lineRule="exact"/>
        <w:ind w:left="0" w:right="0" w:firstLine="576"/>
        <w:jc w:val="left"/>
      </w:pPr>
      <w:r>
        <w:rPr/>
        <w:t xml:space="preserve">(E) One member representing law enforcement;</w:t>
      </w:r>
    </w:p>
    <w:p>
      <w:pPr>
        <w:spacing w:before="0" w:after="0" w:line="408" w:lineRule="exact"/>
        <w:ind w:left="0" w:right="0" w:firstLine="576"/>
        <w:jc w:val="left"/>
      </w:pPr>
      <w:r>
        <w:rPr/>
        <w:t xml:space="preserve">(F) One member representing cities; and</w:t>
      </w:r>
    </w:p>
    <w:p>
      <w:pPr>
        <w:spacing w:before="0" w:after="0" w:line="408" w:lineRule="exact"/>
        <w:ind w:left="0" w:right="0" w:firstLine="576"/>
        <w:jc w:val="left"/>
      </w:pPr>
      <w:r>
        <w:rPr/>
        <w:t xml:space="preserve">(G) One member representing counties.</w:t>
      </w:r>
    </w:p>
    <w:p>
      <w:pPr>
        <w:spacing w:before="0" w:after="0" w:line="408" w:lineRule="exact"/>
        <w:ind w:left="0" w:right="0" w:firstLine="576"/>
        <w:jc w:val="left"/>
      </w:pPr>
      <w:r>
        <w:rPr/>
        <w:t xml:space="preserve">(iv) Each legislative member shall appoint one community representative for a total of four community representatives.</w:t>
      </w:r>
    </w:p>
    <w:p>
      <w:pPr>
        <w:spacing w:before="0" w:after="0" w:line="408" w:lineRule="exact"/>
        <w:ind w:left="0" w:right="0" w:firstLine="576"/>
        <w:jc w:val="left"/>
      </w:pPr>
      <w:r>
        <w:rPr/>
        <w:t xml:space="preserve">(b) The work group shall choose its chair from among its legislative membership. The senior member of the largest caucus in the senate shall convene the initial meeting of the work group.</w:t>
      </w:r>
    </w:p>
    <w:p>
      <w:pPr>
        <w:spacing w:before="0" w:after="0" w:line="408" w:lineRule="exact"/>
        <w:ind w:left="0" w:right="0" w:firstLine="576"/>
        <w:jc w:val="left"/>
      </w:pPr>
      <w:r>
        <w:rPr/>
        <w:t xml:space="preserve">(2) The work group shall hold a series of public meetings to study the impact of </w:t>
      </w:r>
      <w:r>
        <w:rPr>
          <w:i/>
        </w:rPr>
        <w:t xml:space="preserve">State v. Blake, </w:t>
      </w:r>
      <w:r>
        <w:rPr/>
        <w:t xml:space="preserve">No. 96873-0, 2021 Wash. LEXIS 107 (February 25, 2021).</w:t>
      </w:r>
    </w:p>
    <w:p>
      <w:pPr>
        <w:spacing w:before="0" w:after="0" w:line="408" w:lineRule="exact"/>
        <w:ind w:left="0" w:right="0" w:firstLine="576"/>
        <w:jc w:val="left"/>
      </w:pPr>
      <w:r>
        <w:rPr/>
        <w:t xml:space="preserve">(3) Staff support for the work group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work group shall report its findings and recommendations to the appropriate committees of the legislature by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f1ffb62ca0642e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18e7ff6f9b4586" /><Relationship Type="http://schemas.openxmlformats.org/officeDocument/2006/relationships/footer" Target="/word/footer1.xml" Id="R2f1ffb62ca0642e6" /></Relationships>
</file>