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1aa5cf18a43f1" /></Relationships>
</file>

<file path=word/document.xml><?xml version="1.0" encoding="utf-8"?>
<w:document xmlns:w="http://schemas.openxmlformats.org/wordprocessingml/2006/main">
  <w:body>
    <w:p>
      <w:r>
        <w:t>Z-0400.1</w:t>
      </w:r>
    </w:p>
    <w:p>
      <w:pPr>
        <w:jc w:val="center"/>
      </w:pPr>
      <w:r>
        <w:t>_______________________________________________</w:t>
      </w:r>
    </w:p>
    <w:p/>
    <w:p>
      <w:pPr>
        <w:jc w:val="center"/>
      </w:pPr>
      <w:r>
        <w:rPr>
          <w:b/>
        </w:rPr>
        <w:t>SENATE BILL 5535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Das, Dhingra, Hasegawa, Lovelett, Nguyen, Nobles, Robinson, and Saldaña; by request of Department of Children, Youth, and Families</w:t>
      </w:r>
    </w:p>
    <w:p/>
    <w:p>
      <w:r>
        <w:rPr>
          <w:t xml:space="preserve">Prefiled 12/13/21.</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in juvenile rehabilitation residential facilities; amending RCW 43.20B.095; creating new sections; and repealing RCW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repeal RCW 13.40.220, also known as the "parent pay" statute, which requires parents to pay a percentage of their gross income to the department of children, youth, and families for the cost of their child's support, treatment, and confinement in the department's juvenile rehabilitation residential facilities.</w:t>
      </w:r>
    </w:p>
    <w:p>
      <w:pPr>
        <w:spacing w:before="0" w:after="0" w:line="408" w:lineRule="exact"/>
        <w:ind w:left="0" w:right="0" w:firstLine="576"/>
        <w:jc w:val="left"/>
      </w:pPr>
      <w:r>
        <w:rPr/>
        <w:t xml:space="preserve">The parent pay statute essentially operates as a legal financial obligation assessed on parents for their child's incarceration. It disproportionally impacts poorer parents and represents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The legislature finds that eliminating parents' financial obligation to pay for their child's incarceration will advance racial equity and help to support a successful transition to adulthood for young people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before the effective date of this section. Any moneys already collected from a parent or other person legally obligated to care for and support a child under RCW 13.40.220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13.40.220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13.40.220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13.40.220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
      <w:pPr>
        <w:jc w:val="center"/>
      </w:pPr>
      <w:r>
        <w:rPr>
          <w:b/>
        </w:rPr>
        <w:t>--- END ---</w:t>
      </w:r>
    </w:p>
    <w:sectPr>
      <w:pgNumType w:start="1"/>
      <w:footerReference xmlns:r="http://schemas.openxmlformats.org/officeDocument/2006/relationships" r:id="R04d693cb40ac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dc363d3a64ff2" /><Relationship Type="http://schemas.openxmlformats.org/officeDocument/2006/relationships/footer" Target="/word/footer1.xml" Id="R04d693cb40ac4301" /></Relationships>
</file>