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8301c7c9cd44aa" /></Relationships>
</file>

<file path=word/document.xml><?xml version="1.0" encoding="utf-8"?>
<w:document xmlns:w="http://schemas.openxmlformats.org/wordprocessingml/2006/main">
  <w:body>
    <w:p>
      <w:r>
        <w:t>S-3190.3</w:t>
      </w:r>
    </w:p>
    <w:p>
      <w:pPr>
        <w:jc w:val="center"/>
      </w:pPr>
      <w:r>
        <w:t>_______________________________________________</w:t>
      </w:r>
    </w:p>
    <w:p/>
    <w:p>
      <w:pPr>
        <w:jc w:val="center"/>
      </w:pPr>
      <w:r>
        <w:rPr>
          <w:b/>
        </w:rPr>
        <w:t>SENATE BILL 5541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Mullet, Gildon, Keiser, Liias, and Lovick</w:t>
      </w:r>
    </w:p>
    <w:p/>
    <w:p>
      <w:r>
        <w:rPr>
          <w:t xml:space="preserve">Prefiled 12/13/21.</w:t>
        </w:rPr>
      </w:r>
      <w:r>
        <w:rPr>
          <w:t xml:space="preserve">Read first time 01/10/22.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newspapers from business and occupation tax; amending RCW 82.04.260; adding a new section to chapter 82.04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any person engaging within this state in the business of printing a newspaper, publishing a newspaper,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2021 c 145 s 7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sixty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t>((</w:t>
      </w:r>
      <w:r>
        <w:rPr>
          <w:strike/>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strike/>
        </w:rPr>
        <w:t xml:space="preserve">(b) A person reporting under the tax rate provided in this subsection (14) must file a complete annual tax performance report with the department under RCW 82.32.534.</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7144fe34e9d84f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820f5e96ce490b" /><Relationship Type="http://schemas.openxmlformats.org/officeDocument/2006/relationships/footer" Target="/word/footer1.xml" Id="R7144fe34e9d84fa6" /></Relationships>
</file>