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64101acd846a6" /></Relationships>
</file>

<file path=word/document.xml><?xml version="1.0" encoding="utf-8"?>
<w:document xmlns:w="http://schemas.openxmlformats.org/wordprocessingml/2006/main">
  <w:body>
    <w:p>
      <w:r>
        <w:t>S-3352.1</w:t>
      </w:r>
    </w:p>
    <w:p>
      <w:pPr>
        <w:jc w:val="center"/>
      </w:pPr>
      <w:r>
        <w:t>_______________________________________________</w:t>
      </w:r>
    </w:p>
    <w:p/>
    <w:p>
      <w:pPr>
        <w:jc w:val="center"/>
      </w:pPr>
      <w:r>
        <w:rPr>
          <w:b/>
        </w:rPr>
        <w:t>SENATE BILL 5577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Mullet, Cleveland, Gildon, Honeyford, Lovick, Padden, Randall, Salomon, Wagoner, and L. Wilson</w:t>
      </w:r>
    </w:p>
    <w:p/>
    <w:p>
      <w:r>
        <w:rPr>
          <w:t xml:space="preserve">Prefiled 12/21/21.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and amending RCW 10.116.060, 10.120.010, and 10.120.020.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"Feasible," "appropriate," "necessary," "possible," "proportional," "reasonable," "available," and "imminent" must be interpreted according to an objective standard which considers all the facts, circumstances, and information known to the officer at the time to determine whether a similarly situated reasonable officer would have determined the action was feasible, appropriate, necessary, possible, proportional, reasonable, available, or imminent.</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a reasonably effective alternative to the use of force does not appear to exist, and that the amount of force used was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technique or tactic used by a peace officer pursuant to enforcing the criminal laws of this state that is reasonably likely to cause physical injury or transient pain.</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 an escape as defined under chapter 9A.76 RCW</w:t>
      </w:r>
      <w:r>
        <w:t>))</w:t>
      </w:r>
    </w:p>
    <w:p>
      <w:pPr>
        <w:spacing w:before="0" w:after="0" w:line="408" w:lineRule="exact"/>
        <w:ind w:left="0" w:right="0" w:firstLine="576"/>
        <w:jc w:val="left"/>
      </w:pPr>
      <w:r>
        <w:rPr>
          <w:u w:val="single"/>
        </w:rPr>
        <w:t xml:space="preserve">(iii) Prevent a person from fleeing a lawful detention by a peace officer;</w:t>
      </w:r>
    </w:p>
    <w:p>
      <w:pPr>
        <w:spacing w:before="0" w:after="0" w:line="408" w:lineRule="exact"/>
        <w:ind w:left="0" w:right="0" w:firstLine="576"/>
        <w:jc w:val="left"/>
      </w:pPr>
      <w:r>
        <w:rPr>
          <w:u w:val="single"/>
        </w:rPr>
        <w:t xml:space="preserve">(iv) Carry out any warrant or other court order authorizing or directing a peace officer to take a person into custody;</w:t>
      </w:r>
    </w:p>
    <w:p>
      <w:pPr>
        <w:spacing w:before="0" w:after="0" w:line="408" w:lineRule="exact"/>
        <w:ind w:left="0" w:right="0" w:firstLine="576"/>
        <w:jc w:val="left"/>
      </w:pPr>
      <w:r>
        <w:rPr>
          <w:u w:val="single"/>
        </w:rPr>
        <w:t xml:space="preserve">(v) Ensure the safety of a peace officer or others when encountering a person reasonably suspected of possessing firearms or other dangerous weapons, or when conducting a search or other lawful activity that reasonably creates a high risk of danger to the officer or another person</w:t>
      </w:r>
      <w:r>
        <w:rPr/>
        <w:t xml:space="preserve">; or </w:t>
      </w:r>
      <w:r>
        <w:t>((</w:t>
      </w:r>
      <w:r>
        <w:rPr>
          <w:strike/>
        </w:rPr>
        <w:t xml:space="preserve">protect</w:t>
      </w:r>
      <w:r>
        <w:t>))</w:t>
      </w:r>
    </w:p>
    <w:p>
      <w:pPr>
        <w:spacing w:before="0" w:after="0" w:line="408" w:lineRule="exact"/>
        <w:ind w:left="0" w:right="0" w:firstLine="576"/>
        <w:jc w:val="left"/>
      </w:pPr>
      <w:r>
        <w:rPr>
          <w:u w:val="single"/>
        </w:rPr>
        <w:t xml:space="preserve">(vi)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w:t>
      </w:r>
      <w:r>
        <w:t>((</w:t>
      </w:r>
      <w:r>
        <w:rPr>
          <w:strike/>
        </w:rPr>
        <w:t xml:space="preserve">,</w:t>
      </w:r>
      <w:r>
        <w:t>))</w:t>
      </w:r>
      <w:r>
        <w:rPr/>
        <w:t xml:space="preserve"> </w:t>
      </w:r>
      <w:r>
        <w:rPr>
          <w:u w:val="single"/>
        </w:rPr>
        <w:t xml:space="preserve">and</w:t>
      </w:r>
      <w:r>
        <w:rPr/>
        <w:t xml:space="preserve"> opportunity</w:t>
      </w:r>
      <w:r>
        <w:t>((</w:t>
      </w:r>
      <w:r>
        <w:rPr>
          <w:strike/>
        </w:rPr>
        <w:t xml:space="preserve">, and intent</w:t>
      </w:r>
      <w:r>
        <w:t>))</w:t>
      </w:r>
      <w:r>
        <w:rPr/>
        <w:t xml:space="preserve"> to </w:t>
      </w:r>
      <w:r>
        <w:t>((</w:t>
      </w:r>
      <w:r>
        <w:rPr>
          <w:strike/>
        </w:rPr>
        <w:t xml:space="preserve">immediately</w:t>
      </w:r>
      <w:r>
        <w:t>))</w:t>
      </w:r>
      <w:r>
        <w:rPr/>
        <w:t xml:space="preserve"> </w:t>
      </w:r>
      <w:r>
        <w:rPr>
          <w:u w:val="single"/>
        </w:rPr>
        <w:t xml:space="preserve">imminently</w:t>
      </w:r>
      <w:r>
        <w:rPr/>
        <w:t xml:space="preserve">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w:t>
      </w:r>
      <w:r>
        <w:t>((</w:t>
      </w:r>
      <w:r>
        <w:rPr>
          <w:strike/>
        </w:rPr>
        <w:t xml:space="preserve">possible</w:t>
      </w:r>
      <w:r>
        <w:t>))</w:t>
      </w:r>
      <w:r>
        <w:rPr/>
        <w:t xml:space="preserve"> </w:t>
      </w:r>
      <w:r>
        <w:rPr>
          <w:u w:val="single"/>
        </w:rPr>
        <w:t xml:space="preserve">safe and feasible</w:t>
      </w:r>
      <w:r>
        <w:rPr/>
        <w:t xml:space="preserve">, </w:t>
      </w:r>
      <w:r>
        <w:t>((</w:t>
      </w:r>
      <w:r>
        <w:rPr>
          <w:strike/>
        </w:rPr>
        <w:t xml:space="preserve">exhaust</w:t>
      </w:r>
      <w:r>
        <w:t>))</w:t>
      </w:r>
      <w:r>
        <w:rPr/>
        <w:t xml:space="preserve"> </w:t>
      </w:r>
      <w:r>
        <w:rPr>
          <w:u w:val="single"/>
        </w:rPr>
        <w:t xml:space="preserve">employ</w:t>
      </w:r>
      <w:r>
        <w:rPr/>
        <w:t xml:space="preserve">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w:t>
      </w:r>
      <w:r>
        <w:t>((</w:t>
      </w:r>
      <w:r>
        <w:rPr>
          <w:strike/>
        </w:rPr>
        <w:t xml:space="preserve">possible</w:t>
      </w:r>
      <w:r>
        <w:t>))</w:t>
      </w:r>
      <w:r>
        <w:rPr/>
        <w:t xml:space="preserve"> </w:t>
      </w:r>
      <w:r>
        <w:rPr>
          <w:u w:val="single"/>
        </w:rPr>
        <w:t xml:space="preserve">safe and feasible</w:t>
      </w:r>
      <w:r>
        <w:rPr/>
        <w:t xml:space="preserv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r>
        <w:rPr>
          <w:u w:val="single"/>
        </w:rPr>
        <w:t xml:space="preserve">and</w:t>
      </w:r>
    </w:p>
    <w:p>
      <w:pPr>
        <w:spacing w:before="0" w:after="0" w:line="408" w:lineRule="exact"/>
        <w:ind w:left="0" w:right="0" w:firstLine="576"/>
        <w:jc w:val="left"/>
      </w:pPr>
      <w:r>
        <w:rPr/>
        <w:t xml:space="preserve">(d) When </w:t>
      </w:r>
      <w:r>
        <w:t>((</w:t>
      </w:r>
      <w:r>
        <w:rPr>
          <w:strike/>
        </w:rPr>
        <w:t xml:space="preserve">possible</w:t>
      </w:r>
      <w:r>
        <w:t>))</w:t>
      </w:r>
      <w:r>
        <w:rPr/>
        <w:t xml:space="preserve"> </w:t>
      </w:r>
      <w:r>
        <w:rPr>
          <w:u w:val="single"/>
        </w:rPr>
        <w:t xml:space="preserve">safe and feasible</w:t>
      </w:r>
      <w:r>
        <w:rPr/>
        <w:t xml:space="preserve">, use available and appropriate less lethal alternatives before using deadly force</w:t>
      </w:r>
      <w:r>
        <w:t>((</w:t>
      </w:r>
      <w:r>
        <w:rPr>
          <w:strike/>
        </w:rPr>
        <w:t xml:space="preserve">; and</w:t>
      </w:r>
    </w:p>
    <w:p>
      <w:pPr>
        <w:spacing w:before="0" w:after="0" w:line="408" w:lineRule="exact"/>
        <w:ind w:left="0" w:right="0" w:firstLine="576"/>
        <w:jc w:val="left"/>
      </w:pPr>
      <w:r>
        <w:rPr>
          <w:strike/>
        </w:rPr>
        <w:t xml:space="preserve">(e) Make less lethal alternatives issued to the officer reasonably available for their use</w:t>
      </w:r>
      <w:r>
        <w:t>))</w:t>
      </w:r>
      <w:r>
        <w:rPr/>
        <w:t xml:space="preserv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
      <w:pPr>
        <w:jc w:val="center"/>
      </w:pPr>
      <w:r>
        <w:rPr>
          <w:b/>
        </w:rPr>
        <w:t>--- END ---</w:t>
      </w:r>
    </w:p>
    <w:sectPr>
      <w:pgNumType w:start="1"/>
      <w:footerReference xmlns:r="http://schemas.openxmlformats.org/officeDocument/2006/relationships" r:id="R2668de6f8a194b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43c1ac2a3f47af" /><Relationship Type="http://schemas.openxmlformats.org/officeDocument/2006/relationships/footer" Target="/word/footer1.xml" Id="R2668de6f8a194bb8" /></Relationships>
</file>