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c6e3434a94767" /></Relationships>
</file>

<file path=word/document.xml><?xml version="1.0" encoding="utf-8"?>
<w:document xmlns:w="http://schemas.openxmlformats.org/wordprocessingml/2006/main">
  <w:body>
    <w:p>
      <w:r>
        <w:t>Z-0425.1</w:t>
      </w:r>
    </w:p>
    <w:p>
      <w:pPr>
        <w:jc w:val="center"/>
      </w:pPr>
      <w:r>
        <w:t>_______________________________________________</w:t>
      </w:r>
    </w:p>
    <w:p/>
    <w:p>
      <w:pPr>
        <w:jc w:val="center"/>
      </w:pPr>
      <w:r>
        <w:rPr>
          <w:b/>
        </w:rPr>
        <w:t>SENATE BILL 5616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Rolfes; by request of Office of Financial Management</w:t>
      </w:r>
    </w:p>
    <w:p/>
    <w:p>
      <w:r>
        <w:rPr>
          <w:t xml:space="preserve">Prefiled 12/29/21.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43.330.767 and 46.68.067; reenacting and amending RCW 43.70.715; reenacting and amending 2018 c 298 s 7008 (uncodified); reenacting RCW 43.79.550, 43.79.555, 43.79.557, and 28A.300.820; adding a new section to chapter 43.79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767</w:t>
      </w:r>
      <w:r>
        <w:rPr/>
        <w:t xml:space="preserve"> and 2021 c 64 s 5 are each amended to read as follows:</w:t>
      </w:r>
    </w:p>
    <w:p>
      <w:pPr>
        <w:spacing w:before="0" w:after="0" w:line="408" w:lineRule="exact"/>
        <w:ind w:left="0" w:right="0" w:firstLine="576"/>
        <w:jc w:val="left"/>
      </w:pPr>
      <w:r>
        <w:rPr/>
        <w:t xml:space="preserve">(1) The manufacturing cluster acceleration </w:t>
      </w:r>
      <w:r>
        <w:t>((</w:t>
      </w:r>
      <w:r>
        <w:rPr>
          <w:strike/>
        </w:rPr>
        <w:t xml:space="preserve">subaccount is established in the economic development strategic reserve</w:t>
      </w:r>
      <w:r>
        <w:t>))</w:t>
      </w:r>
      <w:r>
        <w:rPr/>
        <w:t xml:space="preserve"> account </w:t>
      </w:r>
      <w:r>
        <w:rPr>
          <w:u w:val="single"/>
        </w:rPr>
        <w:t xml:space="preserve">is created in the state treasury</w:t>
      </w:r>
      <w:r>
        <w:rPr/>
        <w:t xml:space="preserve">. All receipts from appropriations made to the manufacturing cluster acceleration </w:t>
      </w:r>
      <w:r>
        <w:t>((</w:t>
      </w:r>
      <w:r>
        <w:rPr>
          <w:strike/>
        </w:rPr>
        <w:t xml:space="preserve">subaccount</w:t>
      </w:r>
      <w:r>
        <w:t>))</w:t>
      </w:r>
      <w:r>
        <w:rPr/>
        <w:t xml:space="preserve"> </w:t>
      </w:r>
      <w:r>
        <w:rPr>
          <w:u w:val="single"/>
        </w:rPr>
        <w:t xml:space="preserve">account</w:t>
      </w:r>
      <w:r>
        <w:rPr/>
        <w:t xml:space="preserve"> shall be deposited into the </w:t>
      </w:r>
      <w:r>
        <w:t>((</w:t>
      </w:r>
      <w:r>
        <w:rPr>
          <w:strike/>
        </w:rPr>
        <w:t xml:space="preserve">subaccount</w:t>
      </w:r>
      <w:r>
        <w:t>))</w:t>
      </w:r>
      <w:r>
        <w:rPr/>
        <w:t xml:space="preserve"> </w:t>
      </w:r>
      <w:r>
        <w:rPr>
          <w:u w:val="single"/>
        </w:rPr>
        <w:t xml:space="preserve">account. Moneys in the account may be spent only after appropriation</w:t>
      </w:r>
      <w:r>
        <w:rPr/>
        <w:t xml:space="preserve">.</w:t>
      </w:r>
    </w:p>
    <w:p>
      <w:pPr>
        <w:spacing w:before="0" w:after="0" w:line="408" w:lineRule="exact"/>
        <w:ind w:left="0" w:right="0" w:firstLine="576"/>
        <w:jc w:val="left"/>
      </w:pPr>
      <w:r>
        <w:rPr/>
        <w:t xml:space="preserve">(2) The department may make expenditures from the </w:t>
      </w:r>
      <w:r>
        <w:t>((</w:t>
      </w:r>
      <w:r>
        <w:rPr>
          <w:strike/>
        </w:rPr>
        <w:t xml:space="preserve">subaccount</w:t>
      </w:r>
      <w:r>
        <w:t>))</w:t>
      </w:r>
      <w:r>
        <w:rPr/>
        <w:t xml:space="preserve"> </w:t>
      </w:r>
      <w:r>
        <w:rPr>
          <w:u w:val="single"/>
        </w:rPr>
        <w:t xml:space="preserve">account</w:t>
      </w:r>
      <w:r>
        <w:rPr/>
        <w:t xml:space="preserve">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w:t>
      </w:r>
      <w:r>
        <w:t>((</w:t>
      </w:r>
      <w:r>
        <w:rPr>
          <w:strike/>
        </w:rPr>
        <w:t xml:space="preserve">[subaccount]</w:t>
      </w:r>
      <w:r>
        <w:t>))</w:t>
      </w:r>
      <w:r>
        <w:rPr/>
        <w:t xml:space="preserve"> and may utilize funds to match nonstate funds being expended on a specific project that aligns with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2021 c 240 s 15 are each amended to read as follows:</w:t>
      </w:r>
    </w:p>
    <w:p>
      <w:pPr>
        <w:spacing w:before="0" w:after="0" w:line="408" w:lineRule="exact"/>
        <w:ind w:left="0" w:right="0" w:firstLine="576"/>
        <w:jc w:val="left"/>
      </w:pPr>
      <w:r>
        <w:rPr/>
        <w:t xml:space="preserve">The driver licensing technology support account is created </w:t>
      </w:r>
      <w:r>
        <w:t>((</w:t>
      </w:r>
      <w:r>
        <w:rPr>
          <w:strike/>
        </w:rPr>
        <w:t xml:space="preserve">as a subaccount</w:t>
      </w:r>
      <w:r>
        <w:t>))</w:t>
      </w:r>
      <w:r>
        <w:rPr/>
        <w:t xml:space="preserve"> in the highway safety fund under RCW 46.68.060. Moneys in the </w:t>
      </w:r>
      <w:r>
        <w:t>((</w:t>
      </w:r>
      <w:r>
        <w:rPr>
          <w:strike/>
        </w:rPr>
        <w:t xml:space="preserve">subaccount</w:t>
      </w:r>
      <w:r>
        <w:t>))</w:t>
      </w:r>
      <w:r>
        <w:rPr/>
        <w:t xml:space="preserve"> </w:t>
      </w:r>
      <w:r>
        <w:rPr>
          <w:u w:val="single"/>
        </w:rPr>
        <w:t xml:space="preserve">account</w:t>
      </w:r>
      <w:r>
        <w:rPr/>
        <w:t xml:space="preserve"> may be spent only after appropriation. Expenditures from the </w:t>
      </w:r>
      <w:r>
        <w:t>((</w:t>
      </w:r>
      <w:r>
        <w:rPr>
          <w:strike/>
        </w:rPr>
        <w:t xml:space="preserve">subaccount</w:t>
      </w:r>
      <w:r>
        <w:t>))</w:t>
      </w:r>
      <w:r>
        <w:rPr/>
        <w:t xml:space="preserve"> </w:t>
      </w:r>
      <w:r>
        <w:rPr>
          <w:u w:val="single"/>
        </w:rPr>
        <w:t xml:space="preserve">account</w:t>
      </w:r>
      <w:r>
        <w:rPr/>
        <w:t xml:space="preserve">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clean energy transition workforce account is created in the state treasury. Moneys in the account may be spent only after appropriation. Expenditures from the account may be used only to support workers who are affected by the state's transition away from fossil fuels to a clean energy economy and associated program administrative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550</w:t>
      </w:r>
      <w:r>
        <w:rPr/>
        <w:t xml:space="preserve"> and 2021 c 334 s 958 are each reenacted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2021 c 334 s 1902 are each reenacted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557</w:t>
      </w:r>
      <w:r>
        <w:rPr/>
        <w:t xml:space="preserve"> and 2021 c 334 s 1903 are each reenacted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reenacted and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820</w:t>
      </w:r>
      <w:r>
        <w:rPr/>
        <w:t xml:space="preserve"> and 2021 c 334 s 1901 are each reenacted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7008</w:t>
      </w:r>
      <w:r>
        <w:rPr/>
        <w:t xml:space="preserve"> (uncodified) is reenacted and amended to read as follows:</w:t>
      </w:r>
    </w:p>
    <w:p>
      <w:pPr>
        <w:spacing w:before="0" w:after="0" w:line="408" w:lineRule="exact"/>
        <w:ind w:left="0" w:right="0" w:firstLine="576"/>
        <w:jc w:val="left"/>
      </w:pPr>
      <w:r>
        <w:rPr/>
        <w:t xml:space="preserve">The energy efficiency account is hereby created in the state treasury. The sums deposited in the energy efficiency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 </w:t>
      </w:r>
      <w:r>
        <w:rPr>
          <w:u w:val="single"/>
        </w:rPr>
        <w:t xml:space="preserve">During the 2021-2023 fiscal biennium, sums in the account may also be appropriated and expended for loans, loan guarantees, and grants for projects that achieve reductions in greenhouse gas emissions for emissions-intensive, trade-exposed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f6beb3079f9e48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219c87e8284c0f" /><Relationship Type="http://schemas.openxmlformats.org/officeDocument/2006/relationships/footer" Target="/word/footer1.xml" Id="Rf6beb3079f9e48d6" /></Relationships>
</file>