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1e42487ab42ca" /></Relationships>
</file>

<file path=word/document.xml><?xml version="1.0" encoding="utf-8"?>
<w:document xmlns:w="http://schemas.openxmlformats.org/wordprocessingml/2006/main">
  <w:body>
    <w:p>
      <w:r>
        <w:t>S-3467.1</w:t>
      </w:r>
    </w:p>
    <w:p>
      <w:pPr>
        <w:jc w:val="center"/>
      </w:pPr>
      <w:r>
        <w:t>_______________________________________________</w:t>
      </w:r>
    </w:p>
    <w:p/>
    <w:p>
      <w:pPr>
        <w:jc w:val="center"/>
      </w:pPr>
      <w:r>
        <w:rPr>
          <w:b/>
        </w:rPr>
        <w:t>SENATE BILL 5794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Kuderer, Frockt, Hasegawa, Lovelett, Randall, Van De Wege, and C. Wilson</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coverage for prescription drugs prescribed for the treatment of behavioral health conditions; amending RCW 41.05.017; adding a new section to chapter 48.43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issued or renewed on or after January 1, 2023, a health carrier may not, outside of an open enrollment period, deny continued coverage or increase the copayment or coinsurance amount for a prescription drug used for the assessment or treatment of a mental health condition to a medically stable enrollee if a participating provider continues to prescribe the drug, if the drug is considered safe and effective for treating the enrollee's medical condition, and if:</w:t>
      </w:r>
    </w:p>
    <w:p>
      <w:pPr>
        <w:spacing w:before="0" w:after="0" w:line="408" w:lineRule="exact"/>
        <w:ind w:left="0" w:right="0" w:firstLine="576"/>
        <w:jc w:val="left"/>
      </w:pPr>
      <w:r>
        <w:rPr/>
        <w:t xml:space="preserve">(a) The drug had previously been covered by the plan for the enrollee's medical condition during the enrollee's current plan year; or</w:t>
      </w:r>
    </w:p>
    <w:p>
      <w:pPr>
        <w:spacing w:before="0" w:after="0" w:line="408" w:lineRule="exact"/>
        <w:ind w:left="0" w:right="0" w:firstLine="576"/>
        <w:jc w:val="left"/>
      </w:pPr>
      <w:r>
        <w:rPr/>
        <w:t xml:space="preserve">(b) The enrollee had been prescribed the drug from their prescribing provider for at least 90 days prior to enrollment in the plan.</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carrier from requiring generic substitution during the current plan year;</w:t>
      </w:r>
    </w:p>
    <w:p>
      <w:pPr>
        <w:spacing w:before="0" w:after="0" w:line="408" w:lineRule="exact"/>
        <w:ind w:left="0" w:right="0" w:firstLine="576"/>
        <w:jc w:val="left"/>
      </w:pPr>
      <w:r>
        <w:rPr/>
        <w:t xml:space="preserve">(b) The carrier from adding new drugs to its formulary during the current plan year, as long as the changed formulary applies only to new prescriptions and not existing prescriptions in violation of subsection (1) of this section;</w:t>
      </w:r>
    </w:p>
    <w:p>
      <w:pPr>
        <w:spacing w:before="0" w:after="0" w:line="408" w:lineRule="exact"/>
        <w:ind w:left="0" w:right="0" w:firstLine="576"/>
        <w:jc w:val="left"/>
      </w:pPr>
      <w:r>
        <w:rPr/>
        <w:t xml:space="preserve">(c) The carrier from removing a drug from its formulary for reasons of patient safety concerns, drug recall or removal from the market, or medical evidence indicating no therapeutic effect of the drug; or</w:t>
      </w:r>
    </w:p>
    <w:p>
      <w:pPr>
        <w:spacing w:before="0" w:after="0" w:line="408" w:lineRule="exact"/>
        <w:ind w:left="0" w:right="0" w:firstLine="576"/>
        <w:jc w:val="left"/>
      </w:pPr>
      <w:r>
        <w:rPr/>
        <w:t xml:space="preserve">(d) A participating provider from prescribing a different drug that is covered by the plan and medically appropriate for the enrollee.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2023, the authority may not require prescription drug utilization management for prescription drugs necessary for the treatment of mental health conditions if the drug was dispensed to the enrollee during the previous 365 days and the enrollee is medically stable on the drug.</w:t>
      </w:r>
    </w:p>
    <w:p>
      <w:pPr>
        <w:spacing w:before="0" w:after="0" w:line="408" w:lineRule="exact"/>
        <w:ind w:left="0" w:right="0" w:firstLine="576"/>
        <w:jc w:val="left"/>
      </w:pPr>
      <w:r>
        <w:rPr/>
        <w:t xml:space="preserve">(2) For the purposes of this section, "prescription drug utilization management" has the same meaning as in RCW 48.43.400.</w:t>
      </w:r>
    </w:p>
    <w:p/>
    <w:p>
      <w:pPr>
        <w:jc w:val="center"/>
      </w:pPr>
      <w:r>
        <w:rPr>
          <w:b/>
        </w:rPr>
        <w:t>--- END ---</w:t>
      </w:r>
    </w:p>
    <w:sectPr>
      <w:pgNumType w:start="1"/>
      <w:footerReference xmlns:r="http://schemas.openxmlformats.org/officeDocument/2006/relationships" r:id="R584b321d26ba40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364509ae54283" /><Relationship Type="http://schemas.openxmlformats.org/officeDocument/2006/relationships/footer" Target="/word/footer1.xml" Id="R584b321d26ba40e6" /></Relationships>
</file>