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d44777584c450d" /></Relationships>
</file>

<file path=word/document.xml><?xml version="1.0" encoding="utf-8"?>
<w:document xmlns:w="http://schemas.openxmlformats.org/wordprocessingml/2006/main">
  <w:body>
    <w:p>
      <w:r>
        <w:t>S-3481.2</w:t>
      </w:r>
    </w:p>
    <w:p>
      <w:pPr>
        <w:jc w:val="center"/>
      </w:pPr>
      <w:r>
        <w:t>_______________________________________________</w:t>
      </w:r>
    </w:p>
    <w:p/>
    <w:p>
      <w:pPr>
        <w:jc w:val="center"/>
      </w:pPr>
      <w:r>
        <w:rPr>
          <w:b/>
        </w:rPr>
        <w:t>SENATE BILL 5795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Hasegawa, Keiser, Pedersen, Saldaña, and Stanford</w:t>
      </w:r>
    </w:p>
    <w:p/>
    <w:p>
      <w:r>
        <w:rPr>
          <w:t xml:space="preserve">Read first time 01/11/22.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consumer protection act to the fair servicing and repair of manufactured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product manufacturers, including digital electronic product manufacturers, are restricting fair servicing and repair of their devices to the detriment of consumers' access to advanced electronics and other goods. The legislature intends to broaden access to the information, tools, and parts necessary for repair of manufactured products, thereby reducing unnecessary early disposal of those products, increasing consumer control over their own devices, and supporting a competitive repair market and the increased availability of remanufactured or repaired advanced electronics and other manufactured goods to create lower cost entry points for consumers to own advanced electronics and other manufactured goods.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 handheld or portable electronic device containing a microprocessor and flat panel computer monitor originally manufactured for distribution and sale in the United States for general consumer purchase. Digital electronic product includes but is not limited to smartphones, electronic reading devices,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(13)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(22)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(23)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2023,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original manufacturer is prohibited from establishing end user license agreements that restrict in any form the legal uses of a product after purchase.</w:t>
      </w:r>
    </w:p>
    <w:p>
      <w:pPr>
        <w:spacing w:before="0" w:after="0" w:line="408" w:lineRule="exact"/>
        <w:ind w:left="0" w:right="0" w:firstLine="576"/>
        <w:jc w:val="left"/>
      </w:pPr>
      <w:r>
        <w:rPr/>
        <w:t xml:space="preserve">(2) Each original manufacturer is prohibited from dictating the venue for legal disputes in end user license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$500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44c11f88bfe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eb7f7b8ab4532" /><Relationship Type="http://schemas.openxmlformats.org/officeDocument/2006/relationships/footer" Target="/word/footer1.xml" Id="R044c11f88bfe475b" /></Relationships>
</file>