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d6126372579433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5842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Carlyle, Liias, Das, Nguyen, and Nobles)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laws that address climate change; amending RCW 70A.65.070, 70A.65.100, 70A.65.200, 70A.65.020, 70A.65.150, 70A.65.160, 70A.65.230, 70A.15.2200, 70A.65.010, 70A.65.140, and 70A.65.170; and adding a new section to chapter 70A.65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in order to smooth their compliance obligation, but must fully satisfy their compliance obligation, for each compliance period, in a manner similar to external greenhouse gas emissions trading programs in other jurisdictions.</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state statute;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r>
        <w:rPr>
          <w:u w:val="single"/>
        </w:rPr>
        <w:t xml:space="preserve">, and the department shall repeal chapter 173-442 WAC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140</w:t>
      </w:r>
      <w:r>
        <w:rPr/>
        <w:t xml:space="preserve"> and 2021 c 316 s 16 are each amended to read as follows:</w:t>
      </w:r>
    </w:p>
    <w:p>
      <w:pPr>
        <w:spacing w:before="0" w:after="0" w:line="408" w:lineRule="exact"/>
        <w:ind w:left="0" w:right="0" w:firstLine="576"/>
        <w:jc w:val="left"/>
      </w:pP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w:t>
      </w:r>
      <w:r>
        <w:t>((</w:t>
      </w:r>
      <w:r>
        <w:rPr>
          <w:strike/>
        </w:rPr>
        <w:t xml:space="preserve">In the event that</w:t>
      </w:r>
      <w:r>
        <w:t>))</w:t>
      </w:r>
      <w:r>
        <w:rPr/>
        <w:t xml:space="preserve"> </w:t>
      </w:r>
      <w:r>
        <w:rPr>
          <w:u w:val="single"/>
        </w:rPr>
        <w:t xml:space="preserve">If</w:t>
      </w:r>
      <w:r>
        <w:rPr/>
        <w:t xml:space="preserve"> a jurisdiction with which the department </w:t>
      </w:r>
      <w:r>
        <w:t>((</w:t>
      </w:r>
      <w:r>
        <w:rPr>
          <w:strike/>
        </w:rPr>
        <w:t xml:space="preserve">has entered</w:t>
      </w:r>
      <w:r>
        <w:t>))</w:t>
      </w:r>
      <w:r>
        <w:rPr/>
        <w:t xml:space="preserve"> </w:t>
      </w:r>
      <w:r>
        <w:rPr>
          <w:u w:val="single"/>
        </w:rPr>
        <w:t xml:space="preserve">might enter</w:t>
      </w:r>
      <w:r>
        <w:rPr/>
        <w:t xml:space="preserve"> into a linkage agreement has no emissions containment trigger price, the department </w:t>
      </w:r>
      <w:r>
        <w:t>((</w:t>
      </w:r>
      <w:r>
        <w:rPr>
          <w:strike/>
        </w:rPr>
        <w:t xml:space="preserve">shall</w:t>
      </w:r>
      <w:r>
        <w:t>))</w:t>
      </w:r>
      <w:r>
        <w:rPr/>
        <w:t xml:space="preserve"> </w:t>
      </w:r>
      <w:r>
        <w:rPr>
          <w:u w:val="single"/>
        </w:rPr>
        <w:t xml:space="preserve">may</w:t>
      </w:r>
      <w:r>
        <w:rPr/>
        <w:t xml:space="preserve">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RCW 70A.65.100;</w:t>
      </w:r>
    </w:p>
    <w:p>
      <w:pPr>
        <w:spacing w:before="0" w:after="0" w:line="408" w:lineRule="exact"/>
        <w:ind w:left="0" w:right="0" w:firstLine="576"/>
        <w:jc w:val="left"/>
      </w:pPr>
      <w:r>
        <w:rPr/>
        <w:t xml:space="preserve">(c) When facilities curtail or close consistent with RCW 70A.65.110(6);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170</w:t>
      </w:r>
      <w:r>
        <w:rPr/>
        <w:t xml:space="preserve"> and 2021 c 316 s 19 are each amended to read as follows:</w:t>
      </w:r>
    </w:p>
    <w:p>
      <w:pPr>
        <w:spacing w:before="0" w:after="0" w:line="408" w:lineRule="exact"/>
        <w:ind w:left="0" w:right="0" w:firstLine="576"/>
        <w:jc w:val="left"/>
      </w:pPr>
      <w:r>
        <w:rPr/>
        <w:t xml:space="preserve">(1) The department shall adopt by rule the protocols for establishing offset projects and securing offset credits that may be used to meet a portion of a covered or opt-in entity's compliance obligation under chapter 316, Laws of 2021.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w:t>
      </w:r>
      <w:r>
        <w:t>((</w:t>
      </w:r>
      <w:r>
        <w:rPr>
          <w:strike/>
        </w:rPr>
        <w:t xml:space="preserve">after July 25, 2021, or within two years prior to July 25, 2021</w:t>
      </w:r>
      <w:r>
        <w:t>))</w:t>
      </w:r>
      <w:r>
        <w:rPr/>
        <w:t xml:space="preserve">.</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RCW 70A.65.200;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w:t>
      </w:r>
      <w:r>
        <w:t>((</w:t>
      </w:r>
      <w:r>
        <w:rPr>
          <w:strike/>
        </w:rPr>
        <w:t xml:space="preserve">may not</w:t>
      </w:r>
      <w:r>
        <w:t>))</w:t>
      </w:r>
      <w:r>
        <w:rPr/>
        <w:t xml:space="preserve"> </w:t>
      </w:r>
      <w:r>
        <w:rPr>
          <w:u w:val="single"/>
        </w:rPr>
        <w:t xml:space="preserve">must:</w:t>
      </w:r>
    </w:p>
    <w:p>
      <w:pPr>
        <w:spacing w:before="0" w:after="0" w:line="408" w:lineRule="exact"/>
        <w:ind w:left="0" w:right="0" w:firstLine="576"/>
        <w:jc w:val="left"/>
      </w:pPr>
      <w:r>
        <w:rPr>
          <w:u w:val="single"/>
        </w:rPr>
        <w:t xml:space="preserve">(a) Not</w:t>
      </w:r>
      <w:r>
        <w:rPr/>
        <w:t xml:space="preserve"> be in addition to or allow for an increase in the emissions limits established under RCW 70A.45.020, as reflected in the annual allowance budgets developed under RCW 70A.65.070</w:t>
      </w:r>
      <w:r>
        <w:rPr>
          <w:u w:val="single"/>
        </w:rPr>
        <w:t xml:space="preserve">;</w:t>
      </w:r>
    </w:p>
    <w:p>
      <w:pPr>
        <w:spacing w:before="0" w:after="0" w:line="408" w:lineRule="exact"/>
        <w:ind w:left="0" w:right="0" w:firstLine="576"/>
        <w:jc w:val="left"/>
      </w:pPr>
      <w:r>
        <w:rPr>
          <w:u w:val="single"/>
        </w:rPr>
        <w:t xml:space="preserve">(b) Have been issued for reporting periods wholly after the effective date of this section or within two years prior to the effective date of this section; and</w:t>
      </w:r>
    </w:p>
    <w:p>
      <w:pPr>
        <w:spacing w:before="0" w:after="0" w:line="408" w:lineRule="exact"/>
        <w:ind w:left="0" w:right="0" w:firstLine="576"/>
        <w:jc w:val="left"/>
      </w:pPr>
      <w:r>
        <w:rPr>
          <w:u w:val="single"/>
        </w:rPr>
        <w:t xml:space="preserve">(c) Be consistent with offset protocols adopted by the department</w:t>
      </w:r>
      <w:r>
        <w:rPr/>
        <w:t xml:space="preserve">.</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
      <w:pPr>
        <w:jc w:val="center"/>
      </w:pPr>
      <w:r>
        <w:rPr>
          <w:b/>
        </w:rPr>
        <w:t>--- END ---</w:t>
      </w:r>
    </w:p>
    <w:sectPr>
      <w:pgNumType w:start="1"/>
      <w:footerReference xmlns:r="http://schemas.openxmlformats.org/officeDocument/2006/relationships" r:id="R1e52ec536cca40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2d868a51f34f52" /><Relationship Type="http://schemas.openxmlformats.org/officeDocument/2006/relationships/footer" Target="/word/footer1.xml" Id="R1e52ec536cca409c" /></Relationships>
</file>