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2e586f265445b0" /></Relationships>
</file>

<file path=word/document.xml><?xml version="1.0" encoding="utf-8"?>
<w:document xmlns:w="http://schemas.openxmlformats.org/wordprocessingml/2006/main">
  <w:body>
    <w:p>
      <w:r>
        <w:t>S-3560.1</w:t>
      </w:r>
    </w:p>
    <w:p>
      <w:pPr>
        <w:jc w:val="center"/>
      </w:pPr>
      <w:r>
        <w:t>_______________________________________________</w:t>
      </w:r>
    </w:p>
    <w:p/>
    <w:p>
      <w:pPr>
        <w:jc w:val="center"/>
      </w:pPr>
      <w:r>
        <w:rPr>
          <w:b/>
        </w:rPr>
        <w:t>SENATE BILL 5846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Liias, Frockt, Hunt, Kuderer, Lovelett, Nguyen, Nobles, Saldaña, and C. Wilson</w:t>
      </w:r>
    </w:p>
    <w:p/>
    <w:p>
      <w:r>
        <w:rPr>
          <w:t xml:space="preserve">Read first time 01/13/22.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weapons at election-related offices and facilities subject to limited exemptions for law enforcement officers and security personnel;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It is unlawful for a person to carry onto, or to possess in, a ballot counting center, a voting center, a student engagement hub, or the county elections and voter registration office, or areas of facilities while being used as a ballot counting center, a voting center, a student engagement hub, or the county elections and voter registration office: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order the person to immediately surrender any concealed pistol license, and within three business days notify the department of licensing in writing of the required revocation of any concealed pistol license held by the person.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law enforcement officer of a federal, state, or local government agency; or</w:t>
      </w:r>
    </w:p>
    <w:p>
      <w:pPr>
        <w:spacing w:before="0" w:after="0" w:line="408" w:lineRule="exact"/>
        <w:ind w:left="0" w:right="0" w:firstLine="576"/>
        <w:jc w:val="left"/>
      </w:pPr>
      <w:r>
        <w:rPr/>
        <w:t xml:space="preserve">(b) Any security personnel hired by a county and engaged in security specifically for a counting center, a voting center, a student engagement hub, or the county elections and voter registration office or areas of facilities used for such purposes. However, a person who is not a commissioned law enforcement officer and who provides elections and voter registration security services under the direction of a county may not possess a firearm or device listed in subsection (1)(d) of this section unless he or she has successfully completed training in the use of firearms or such devices that is equivalent to the training received by commissioned law enforcement officers.</w:t>
      </w:r>
    </w:p>
    <w:p>
      <w:pPr>
        <w:spacing w:before="0" w:after="0" w:line="408" w:lineRule="exact"/>
        <w:ind w:left="0" w:right="0" w:firstLine="576"/>
        <w:jc w:val="left"/>
      </w:pPr>
      <w:r>
        <w:rPr/>
        <w:t xml:space="preserve">(4) Elections officers and officials must post signs providing notice of the restriction on possession of firearms and other weapons at each counting center, voting center, student engagement hub, or county elections and voter registration office, or areas of facilities while being used as a counting center, a voting center, a student engagement hub, or the county elections and voter registration office.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"Ballot counting center" has the same meaning as "counting center" in RCW 29A.04.019;</w:t>
      </w:r>
    </w:p>
    <w:p>
      <w:pPr>
        <w:spacing w:before="0" w:after="0" w:line="408" w:lineRule="exact"/>
        <w:ind w:left="0" w:right="0" w:firstLine="576"/>
        <w:jc w:val="left"/>
      </w:pPr>
      <w:r>
        <w:rPr/>
        <w:t xml:space="preserve">(b) "Voting center" means a voting center as described in RCW 29A.40.160; and</w:t>
      </w:r>
    </w:p>
    <w:p>
      <w:pPr>
        <w:spacing w:before="0" w:after="0" w:line="408" w:lineRule="exact"/>
        <w:ind w:left="0" w:right="0" w:firstLine="576"/>
        <w:jc w:val="left"/>
      </w:pPr>
      <w:r>
        <w:rPr/>
        <w:t xml:space="preserve">(c) "Student engagement hub" means a student engagement hub as described in RCW 29A.40.180.</w:t>
      </w:r>
    </w:p>
    <w:p/>
    <w:p>
      <w:pPr>
        <w:jc w:val="center"/>
      </w:pPr>
      <w:r>
        <w:rPr>
          <w:b/>
        </w:rPr>
        <w:t>--- END ---</w:t>
      </w:r>
    </w:p>
    <w:sectPr>
      <w:pgNumType w:start="1"/>
      <w:footerReference xmlns:r="http://schemas.openxmlformats.org/officeDocument/2006/relationships" r:id="Readaed7e19da46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58afc1d14f4153" /><Relationship Type="http://schemas.openxmlformats.org/officeDocument/2006/relationships/footer" Target="/word/footer1.xml" Id="Readaed7e19da4605" /></Relationships>
</file>