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411ea4fcc44cd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Salomon, Stanford, Hasegawa, Keiser, Lovelett, Nobles, and Rolfes)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shoreline habitat; amending RCW 77.55.231; and adding a new section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 baseline survey of Puget Sound marine shorelines that renews oblique shoreline aerial imagery and incorporates the use of new technology to create a 360 degree on-the-water comprehensive view of the shoreline. The initial marine oblique aerial and on-the-water imagery must be completed by June 30, 2023, and updated on a regular five-year cycle thereafter. The initial marine shoreline survey must be completed by June 30, 2024, and updated on a regular five-year cycle thereafter. The survey must document and map existing shoreline conditions, structures, and structure conditions, including structures in disrepair and structures and vessels that potentially are derelict, and must be available to the public and incorporated into state geographic information system mapping.</w:t>
      </w:r>
    </w:p>
    <w:p>
      <w:pPr>
        <w:spacing w:before="0" w:after="0" w:line="408" w:lineRule="exact"/>
        <w:ind w:left="0" w:right="0" w:firstLine="576"/>
        <w:jc w:val="left"/>
      </w:pPr>
      <w:r>
        <w:rPr/>
        <w:t xml:space="preserve">(2) Upon completion of regular surveys, state and local permitting agencies shall consider survey results when exercising or considering whether to exercise enforcement authority.</w:t>
      </w:r>
    </w:p>
    <w:p>
      <w:pPr>
        <w:spacing w:before="0" w:after="0" w:line="408" w:lineRule="exact"/>
        <w:ind w:left="0" w:right="0" w:firstLine="576"/>
        <w:jc w:val="left"/>
      </w:pPr>
      <w:r>
        <w:rPr/>
        <w:t xml:space="preserve">(3) For the purposes of this section, "Puget Sound" means Puget Sound and related inland marine waters, including all salt waters of the state of Washington inside the international boundary line between Washington and British Columbia, and lying east of the Strait of Juan de Fuca, including Hood Canal and the San Juan Islands.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2021 c 279 s 2 are each amended to read as follows:</w:t>
      </w:r>
    </w:p>
    <w:p>
      <w:pPr>
        <w:spacing w:before="0" w:after="0" w:line="408" w:lineRule="exact"/>
        <w:ind w:left="0" w:right="0" w:firstLine="576"/>
        <w:jc w:val="left"/>
      </w:pPr>
      <w:r>
        <w:rPr/>
        <w:t xml:space="preserve">(1)(a)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t xml:space="preserve">(i) Remove the structure and restore the beach;</w:t>
      </w:r>
    </w:p>
    <w:p>
      <w:pPr>
        <w:spacing w:before="0" w:after="0" w:line="408" w:lineRule="exact"/>
        <w:ind w:left="0" w:right="0" w:firstLine="576"/>
        <w:jc w:val="left"/>
      </w:pPr>
      <w:r>
        <w:rPr/>
        <w:t xml:space="preserve">(ii) Remove the structure and install native vegetation;</w:t>
      </w:r>
    </w:p>
    <w:p>
      <w:pPr>
        <w:spacing w:before="0" w:after="0" w:line="408" w:lineRule="exact"/>
        <w:ind w:left="0" w:right="0" w:firstLine="576"/>
        <w:jc w:val="left"/>
      </w:pPr>
      <w:r>
        <w:rPr/>
        <w:t xml:space="preserve">(iii) Remove the structure and control upland drainage;</w:t>
      </w:r>
    </w:p>
    <w:p>
      <w:pPr>
        <w:spacing w:before="0" w:after="0" w:line="408" w:lineRule="exact"/>
        <w:ind w:left="0" w:right="0" w:firstLine="576"/>
        <w:jc w:val="left"/>
      </w:pPr>
      <w:r>
        <w:rPr/>
        <w:t xml:space="preserve">(iv) Remove the structure and replace it with a soft structure constructed of natural materials, including bioengineering;</w:t>
      </w:r>
    </w:p>
    <w:p>
      <w:pPr>
        <w:spacing w:before="0" w:after="0" w:line="408" w:lineRule="exact"/>
        <w:ind w:left="0" w:right="0" w:firstLine="576"/>
        <w:jc w:val="left"/>
      </w:pPr>
      <w:r>
        <w:rPr/>
        <w:t xml:space="preserve">(v) Remove the hard structure and construct upland retaining walls;</w:t>
      </w:r>
    </w:p>
    <w:p>
      <w:pPr>
        <w:spacing w:before="0" w:after="0" w:line="408" w:lineRule="exact"/>
        <w:ind w:left="0" w:right="0" w:firstLine="576"/>
        <w:jc w:val="left"/>
      </w:pPr>
      <w:r>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u w:val="single"/>
        </w:rPr>
        <w:t xml:space="preserve">(d)(i) Puget Sound shorelines are unique for their role in supporting the Puget Sound marine ecosystem, including the food web that includes marine vegetation, forage fish, Washington's listed salmon, steelhead, and southern resident orcas.</w:t>
      </w:r>
    </w:p>
    <w:p>
      <w:pPr>
        <w:spacing w:before="0" w:after="0" w:line="408" w:lineRule="exact"/>
        <w:ind w:left="0" w:right="0" w:firstLine="576"/>
        <w:jc w:val="left"/>
      </w:pPr>
      <w:r>
        <w:rPr>
          <w:u w:val="single"/>
        </w:rPr>
        <w:t xml:space="preserve">(ii) Any repair or replacement of a marine structure in the waters of the Puget Sound must be assessed to consider the least impactful alternatives that upgrade the structures to the most recent code standards ensuring that the updates are technically feasible and subject to the alternatives in (b) of this subsection.</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e0d816e302584f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f812a1d4542a4" /><Relationship Type="http://schemas.openxmlformats.org/officeDocument/2006/relationships/footer" Target="/word/footer1.xml" Id="Re0d816e302584f75" /></Relationships>
</file>