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f49ca0ded42b4" /></Relationships>
</file>

<file path=word/document.xml><?xml version="1.0" encoding="utf-8"?>
<w:document xmlns:w="http://schemas.openxmlformats.org/wordprocessingml/2006/main">
  <w:body>
    <w:p>
      <w:r>
        <w:t>S-3675.2</w:t>
      </w:r>
    </w:p>
    <w:p>
      <w:pPr>
        <w:jc w:val="center"/>
      </w:pPr>
      <w:r>
        <w:t>_______________________________________________</w:t>
      </w:r>
    </w:p>
    <w:p/>
    <w:p>
      <w:pPr>
        <w:jc w:val="center"/>
      </w:pPr>
      <w:r>
        <w:rPr>
          <w:b/>
        </w:rPr>
        <w:t>SENATE BILL 5894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Conway, Hasegawa, Nguyen, Nobles, Robinson, and C. Wilson</w:t>
      </w:r>
    </w:p>
    <w:p/>
    <w:p>
      <w:r>
        <w:rPr>
          <w:t xml:space="preserve">Read first time 01/18/22.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behavioral health in primary care through the use of health navigators and a primary care collaborative; amending RCW 74.09.010; adding a new section to chapter 74.09 RCW; adding a new section to chapter 41.05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whole-person care that includes access to behavioral health, care coordination, and social supports at the point of entry is essential for families. In 2021, over 44 percent of middle school students and 57 percent of high school students reported feeling depressed most days. One in five mothers suffer from mood disorders after birth while only 16 percent receive treatment. Meanwhile, 78 percent of primary care doctors who refer kids for behavioral health care receive no further information or coordination after the referral. Multiform strategies are needed to meet kids and families where they are to deliver needed behavioral health interventions and social supports. While current initiatives, like certified community behavioral health clinics, promise to expand access to integrated care and care coordination for families that present to behavioral health clinics, it is necessary to plan for whole-person care throughout the delivery system, including for families whose primary point of entry is through primary care.</w:t>
      </w:r>
    </w:p>
    <w:p>
      <w:pPr>
        <w:spacing w:before="0" w:after="0" w:line="408" w:lineRule="exact"/>
        <w:ind w:left="0" w:right="0" w:firstLine="576"/>
        <w:jc w:val="left"/>
      </w:pPr>
      <w:r>
        <w:rPr/>
        <w:t xml:space="preserve">(2) The legislature further finds that the unique relationship between primary care providers and patients makes primary care well positioned to deploy integrated whole-person care strategies that include behavioral health and social supports. Primary care is a main driver of prevention and early detection, so investment in improved primary care services, connectivity to other parts of the delivery system, and patient engagement will improve patient outcomes and lower the total cost of care. To achieve these outcomes, the legislature intends to invest in primary care transformation accomplished through a multipayer primary care transformation model developed by the health care authority in consultation with stakeholders across the health delivery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2020 c 80 s 55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0" w:after="0" w:line="408" w:lineRule="exact"/>
        <w:ind w:left="0" w:right="0" w:firstLine="576"/>
        <w:jc w:val="left"/>
      </w:pPr>
      <w:r>
        <w:rPr>
          <w:u w:val="single"/>
        </w:rPr>
        <w:t xml:space="preserve">(23) "Health navigator" means a member of a health care team who helps individuals overcome barriers and facilitate access to services by increasing health knowledge and self-sufficiency through a range of evidence-based activities such as outreach, community education, informal counseling, social support, and advocacy which impact social determinants of health. Health navigators are nonlicensed and are typically trusted members of the community with an unusually close understanding of the community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January 1, 2023, managed care organizations shall make reimbursement for care coordination services performed by nonlicensed staff acting in the role of a health navigator available to primary care clinics that have not fully transitioned to the multipayer primary care transformation model developed pursuant to section 4 of this act, using funding provided for medicaid administrative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work with stakeholders to complete development of its multipayer primary care transformation model to improve access to and quality of services covered by medicaid, public employees' benefits board, and school employees' benefits board programs and begin phasing in value-based payment and accountability for top tier readiness certification clinics by January 1, 2023.</w:t>
      </w:r>
    </w:p>
    <w:p>
      <w:pPr>
        <w:spacing w:before="0" w:after="0" w:line="408" w:lineRule="exact"/>
        <w:ind w:left="0" w:right="0" w:firstLine="576"/>
        <w:jc w:val="left"/>
      </w:pPr>
      <w:r>
        <w:rPr/>
        <w:t xml:space="preserve">(2) The multipayer primary care transformation model shall, if practicable, be designed to achieve cost neutrality when fully phased in for each participating clinic.</w:t>
      </w:r>
    </w:p>
    <w:p>
      <w:pPr>
        <w:spacing w:before="0" w:after="0" w:line="408" w:lineRule="exact"/>
        <w:ind w:left="0" w:right="0" w:firstLine="576"/>
        <w:jc w:val="left"/>
      </w:pPr>
      <w:r>
        <w:rPr/>
        <w:t xml:space="preserve">(3) The multipayer primary care transformation model shall include, but not be limited to, the following components:</w:t>
      </w:r>
    </w:p>
    <w:p>
      <w:pPr>
        <w:spacing w:before="0" w:after="0" w:line="408" w:lineRule="exact"/>
        <w:ind w:left="0" w:right="0" w:firstLine="576"/>
        <w:jc w:val="left"/>
      </w:pPr>
      <w:r>
        <w:rPr/>
        <w:t xml:space="preserve">(a) Coordination of payer functions and resources, such as centralizing evaluation of performance and standing;</w:t>
      </w:r>
    </w:p>
    <w:p>
      <w:pPr>
        <w:spacing w:before="0" w:after="0" w:line="408" w:lineRule="exact"/>
        <w:ind w:left="0" w:right="0" w:firstLine="576"/>
        <w:jc w:val="left"/>
      </w:pPr>
      <w:r>
        <w:rPr/>
        <w:t xml:space="preserve">(b) Reduction of burden on practices by reducing the need to comply with multiple contracting and compliance standards for different payers;</w:t>
      </w:r>
    </w:p>
    <w:p>
      <w:pPr>
        <w:spacing w:before="0" w:after="0" w:line="408" w:lineRule="exact"/>
        <w:ind w:left="0" w:right="0" w:firstLine="576"/>
        <w:jc w:val="left"/>
      </w:pPr>
      <w:r>
        <w:rPr/>
        <w:t xml:space="preserve">(c) Receipt of a consolidated service payment that removes the incentive to bill for a higher volume of services;</w:t>
      </w:r>
    </w:p>
    <w:p>
      <w:pPr>
        <w:spacing w:before="0" w:after="0" w:line="408" w:lineRule="exact"/>
        <w:ind w:left="0" w:right="0" w:firstLine="576"/>
        <w:jc w:val="left"/>
      </w:pPr>
      <w:r>
        <w:rPr/>
        <w:t xml:space="preserve">(d) Standardization of accountabilities for standards of care and practice capability expectations, which shall include, but not be limited to:</w:t>
      </w:r>
    </w:p>
    <w:p>
      <w:pPr>
        <w:spacing w:before="0" w:after="0" w:line="408" w:lineRule="exact"/>
        <w:ind w:left="0" w:right="0" w:firstLine="576"/>
        <w:jc w:val="left"/>
      </w:pPr>
      <w:r>
        <w:rPr/>
        <w:t xml:space="preserve">(i) Use of appropriate behavioral health screening tools annually with documented follow-up protocols; and</w:t>
      </w:r>
    </w:p>
    <w:p>
      <w:pPr>
        <w:spacing w:before="0" w:after="0" w:line="408" w:lineRule="exact"/>
        <w:ind w:left="0" w:right="0" w:firstLine="576"/>
        <w:jc w:val="left"/>
      </w:pPr>
      <w:r>
        <w:rPr/>
        <w:t xml:space="preserve">(ii) Access to team-based care strategies including patient support through health navigator services;</w:t>
      </w:r>
    </w:p>
    <w:p>
      <w:pPr>
        <w:spacing w:before="0" w:after="0" w:line="408" w:lineRule="exact"/>
        <w:ind w:left="0" w:right="0" w:firstLine="576"/>
        <w:jc w:val="left"/>
      </w:pPr>
      <w:r>
        <w:rPr/>
        <w:t xml:space="preserve">(e) A transformation fee to support practices while they are building capacity to satisfy provider accountabilities; and</w:t>
      </w:r>
    </w:p>
    <w:p>
      <w:pPr>
        <w:spacing w:before="0" w:after="0" w:line="408" w:lineRule="exact"/>
        <w:ind w:left="0" w:right="0" w:firstLine="576"/>
        <w:jc w:val="left"/>
      </w:pPr>
      <w:r>
        <w:rPr/>
        <w:t xml:space="preserve">(f) Increased payment for quality based on performance across several quality measures, including behavioral health.</w:t>
      </w:r>
    </w:p>
    <w:p>
      <w:pPr>
        <w:spacing w:before="0" w:after="0" w:line="408" w:lineRule="exact"/>
        <w:ind w:left="0" w:right="0" w:firstLine="576"/>
        <w:jc w:val="left"/>
      </w:pPr>
      <w:r>
        <w:rPr/>
        <w:t xml:space="preserve">(4) The authority shall report to the governor and appropriate committees of the legislature by December 1, 2023, describing the final multipayer primary care transformation model, progress with implementation, and a strategy and timeline to complete implementation in primary care clinics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contract with an organization that represents pediatric primary care needs in Washington state to convene community-based organizations dedicated to children's mental health in order to establish and implement an equity-focused curriculum by January 1, 2023, with the goal to prepare health navigators in the unique needs of children, adolescents,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f2fbae1d27d348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e036259194cd6" /><Relationship Type="http://schemas.openxmlformats.org/officeDocument/2006/relationships/footer" Target="/word/footer1.xml" Id="Rf2fbae1d27d3484e" /></Relationships>
</file>