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6ff57d9dbc45b6" /></Relationships>
</file>

<file path=word/document.xml><?xml version="1.0" encoding="utf-8"?>
<w:document xmlns:w="http://schemas.openxmlformats.org/wordprocessingml/2006/main">
  <w:body>
    <w:p>
      <w:r>
        <w:t>S-4214.1</w:t>
      </w:r>
    </w:p>
    <w:p>
      <w:pPr>
        <w:jc w:val="center"/>
      </w:pPr>
      <w:r>
        <w:t>_______________________________________________</w:t>
      </w:r>
    </w:p>
    <w:p/>
    <w:p>
      <w:pPr>
        <w:jc w:val="center"/>
      </w:pPr>
      <w:r>
        <w:rPr>
          <w:b/>
        </w:rPr>
        <w:t>SUBSTITUTE SENATE BILL 5920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Law &amp; Justice (originally sponsored by Senator Warnick)</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parenting plans; amending RCW 26.09.260;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parental participation in a child's life is ideal for the development and well-being of the child, but that a parent's use of alcohol or drugs may be cause to limit that parent's participation in the child's life through restrictions in a parenting plan. The legislature also finds that many who are addicted to or abuse alcohol, drugs, or other substances can stop using and achieve sobriety, and those parents who can achieve and maintain sobriety should be permitted to seek modification of a parenting plan with restrictions based on alcohol or drug use if a court deems it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Except as otherwise provided in subsections (4), (5), (6), (8), and (10) of this section, the court shall not modify a prior custody decree or a parenting plan unless it finds, upon the basis of facts that have arisen since the prior decree or plan or that were unknown to the court at the time of the prior decree or plan, that a substantial change has occurred in the circumstances of the child or the nonmoving party and that the modification is in the best interest of the child and is necessary to serve the best interests of the child. The effect of a parent's military duties potentially impacting parenting functions shall not, by itself, be a substantial change of circumstances justifying a permanent modification of a prior decree or plan.</w:t>
      </w:r>
    </w:p>
    <w:p>
      <w:pPr>
        <w:spacing w:before="0" w:after="0" w:line="408" w:lineRule="exact"/>
        <w:ind w:left="0" w:right="0" w:firstLine="576"/>
        <w:jc w:val="left"/>
      </w:pPr>
      <w:r>
        <w:rPr/>
        <w:t xml:space="preserve">(2) In applying these standards, the court shall retain the residential schedule established by the decree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or</w:t>
      </w:r>
    </w:p>
    <w:p>
      <w:pPr>
        <w:spacing w:before="0" w:after="0" w:line="408" w:lineRule="exact"/>
        <w:ind w:left="0" w:right="0" w:firstLine="576"/>
        <w:jc w:val="left"/>
      </w:pPr>
      <w:r>
        <w:rPr/>
        <w:t xml:space="preserve">(d)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RCW 26.09.191.</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 without a showing of adequate cause other than the proposed relocation itself. A hearing to determine adequate cause for modification shall not be required so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w:t>
      </w:r>
      <w:r>
        <w:rPr>
          <w:u w:val="single"/>
        </w:rPr>
        <w:t xml:space="preserve">(a)</w:t>
      </w:r>
      <w:r>
        <w:rPr/>
        <w:t xml:space="preserve"> A parent with whom the child does not reside a majority of the time and whose residential time with the child is subject to limitations pursuant to RCW 26.09.191 (2) or (3)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rPr>
          <w:u w:val="single"/>
        </w:rPr>
        <w:t xml:space="preserve">(b) If the restriction is based upon a finding of drug, alcohol, or other substance abuse that interferes with the performance of parenting functions, a substantial change in circumstances is demonstrated when the moving parent shows by clear and convincing proof that the parent has not used drugs, alcohol, or other substances. The court shall schedule a hearing when a substantial change in circumstances is demonstrated and may make adjustments to the parenting plan in keeping with the best interests of the minor child.</w:t>
      </w:r>
    </w:p>
    <w:p>
      <w:pPr>
        <w:spacing w:before="0" w:after="0" w:line="408" w:lineRule="exact"/>
        <w:ind w:left="0" w:right="0" w:firstLine="576"/>
        <w:jc w:val="left"/>
      </w:pPr>
      <w:r>
        <w:rPr/>
        <w:t xml:space="preserve">(8)(a)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rPr/>
        <w:t xml:space="preserve">(9)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rPr/>
        <w:t xml:space="preserve">(10)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rPr/>
        <w:t xml:space="preserve">(11)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rPr/>
        <w:t xml:space="preserve">(12)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RCW 26.09.191. The parties shall attempt to resolve disputes regarding delegation of residential time or visitation rights through the dispute resolution process specified in their parenting plan, unless excused by the court for good cause shown. Such a court</w:t>
      </w:r>
      <w:r>
        <w:rPr/>
        <w:noBreakHyphen/>
      </w:r>
      <w:r>
        <w:rPr/>
        <w:t xml:space="preserve">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rPr/>
        <w:t xml:space="preserve">(13) If the court finds that a motion to modify a prior decree or parenting plan has been brought in bad faith, the court shall assess the attorney's fees and court costs of the nonmoving parent against the moving party.</w:t>
      </w:r>
    </w:p>
    <w:p/>
    <w:p>
      <w:pPr>
        <w:jc w:val="center"/>
      </w:pPr>
      <w:r>
        <w:rPr>
          <w:b/>
        </w:rPr>
        <w:t>--- END ---</w:t>
      </w:r>
    </w:p>
    <w:sectPr>
      <w:pgNumType w:start="1"/>
      <w:footerReference xmlns:r="http://schemas.openxmlformats.org/officeDocument/2006/relationships" r:id="R8a1173087f1647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af5fa2b32a477b" /><Relationship Type="http://schemas.openxmlformats.org/officeDocument/2006/relationships/footer" Target="/word/footer1.xml" Id="R8a1173087f16478d" /></Relationships>
</file>