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4b5f8965cb4be1" /></Relationships>
</file>

<file path=word/document.xml><?xml version="1.0" encoding="utf-8"?>
<w:document xmlns:w="http://schemas.openxmlformats.org/wordprocessingml/2006/main">
  <w:body>
    <w:p>
      <w:r>
        <w:t>S-3338.2</w:t>
      </w:r>
    </w:p>
    <w:p>
      <w:pPr>
        <w:jc w:val="center"/>
      </w:pPr>
      <w:r>
        <w:t>_______________________________________________</w:t>
      </w:r>
    </w:p>
    <w:p/>
    <w:p>
      <w:pPr>
        <w:jc w:val="center"/>
      </w:pPr>
      <w:r>
        <w:rPr>
          <w:b/>
        </w:rPr>
        <w:t>SENATE BILL 5926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Robinson and Nguyen</w:t>
      </w:r>
    </w:p>
    <w:p/>
    <w:p>
      <w:r>
        <w:rPr>
          <w:t xml:space="preserve">Read first time 01/21/22.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gains taxation of certain investment management services provided to a partnership or similar entity; amending RCW 82.87.020 and 82.87.040;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020</w:t>
      </w:r>
      <w:r>
        <w:rPr/>
        <w:t xml:space="preserve"> and 2021 c 196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RCW 82.87.100,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RCW 82.87.100,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RCW 82.87.100,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55 through 59,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July 25, 2021, or such subsequent date as the department may provide by rule consistent with the purpose of this chapter.</w:t>
      </w:r>
    </w:p>
    <w:p>
      <w:pPr>
        <w:spacing w:before="0" w:after="0" w:line="408" w:lineRule="exact"/>
        <w:ind w:left="0" w:right="0" w:firstLine="576"/>
        <w:jc w:val="left"/>
      </w:pPr>
      <w:r>
        <w:rPr/>
        <w:t xml:space="preserve">(6) </w:t>
      </w:r>
      <w:r>
        <w:rPr>
          <w:u w:val="single"/>
        </w:rPr>
        <w:t xml:space="preserve">"Investment management services" means providing a substantial quantity of any of the following services to a partnership, S corporation, or other entity as a partner thereto:</w:t>
      </w:r>
    </w:p>
    <w:p>
      <w:pPr>
        <w:spacing w:before="0" w:after="0" w:line="408" w:lineRule="exact"/>
        <w:ind w:left="0" w:right="0" w:firstLine="576"/>
        <w:jc w:val="left"/>
      </w:pPr>
      <w:r>
        <w:rPr>
          <w:u w:val="single"/>
        </w:rPr>
        <w:t xml:space="preserve">(a) Advising as to the advisability of investing in, purchasing, or selling a specified asset;</w:t>
      </w:r>
    </w:p>
    <w:p>
      <w:pPr>
        <w:spacing w:before="0" w:after="0" w:line="408" w:lineRule="exact"/>
        <w:ind w:left="0" w:right="0" w:firstLine="576"/>
        <w:jc w:val="left"/>
      </w:pPr>
      <w:r>
        <w:rPr>
          <w:u w:val="single"/>
        </w:rPr>
        <w:t xml:space="preserve">(b) Managing, acquiring, or disposing of a specified asset;</w:t>
      </w:r>
    </w:p>
    <w:p>
      <w:pPr>
        <w:spacing w:before="0" w:after="0" w:line="408" w:lineRule="exact"/>
        <w:ind w:left="0" w:right="0" w:firstLine="576"/>
        <w:jc w:val="left"/>
      </w:pPr>
      <w:r>
        <w:rPr>
          <w:u w:val="single"/>
        </w:rPr>
        <w:t xml:space="preserve">(c) Arranging financing with respect to acquiring specified assets; or</w:t>
      </w:r>
    </w:p>
    <w:p>
      <w:pPr>
        <w:spacing w:before="0" w:after="0" w:line="408" w:lineRule="exact"/>
        <w:ind w:left="0" w:right="0" w:firstLine="576"/>
        <w:jc w:val="left"/>
      </w:pPr>
      <w:r>
        <w:rPr>
          <w:u w:val="single"/>
        </w:rPr>
        <w:t xml:space="preserve">(d) Any activity in support of any of the services described in (a) through (c) of this subsection.</w:t>
      </w:r>
    </w:p>
    <w:p>
      <w:pPr>
        <w:spacing w:before="0" w:after="0" w:line="408" w:lineRule="exact"/>
        <w:ind w:left="0" w:right="0" w:firstLine="576"/>
        <w:jc w:val="left"/>
      </w:pPr>
      <w:r>
        <w:rPr>
          <w:u w:val="single"/>
        </w:rPr>
        <w:t xml:space="preserve">(7)</w:t>
      </w:r>
      <w:r>
        <w:rPr/>
        <w:t xml:space="preserve"> "Long-term capital asset" means a capital asset that is held for more than one year.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"Long-term capital gain" means gain from the sale or exchange of a long-term capital asset.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"Long-term capital loss" means a loss from the sale or exchange of a long-term capital asset.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"Real estate" means land and fixtures affixed to land. "Real estate" also includes used mobile homes, used park model trailers, used floating homes, and improvements constructed upon leased land.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means a calendar day or any portion of a calendar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t>((</w:t>
      </w:r>
      <w:r>
        <w:rPr>
          <w:strike/>
        </w:rPr>
        <w:t xml:space="preserve">(11)</w:t>
      </w:r>
      <w:r>
        <w:t>))</w:t>
      </w:r>
      <w:r>
        <w:rPr/>
        <w:t xml:space="preserve"> </w:t>
      </w:r>
      <w:r>
        <w:rPr>
          <w:u w:val="single"/>
        </w:rPr>
        <w:t xml:space="preserve">(12) "Specified asset" means certain securities, interests in partnerships, commodities, or options or derivatives contracts.</w:t>
      </w:r>
    </w:p>
    <w:p>
      <w:pPr>
        <w:spacing w:before="0" w:after="0" w:line="408" w:lineRule="exact"/>
        <w:ind w:left="0" w:right="0" w:firstLine="576"/>
        <w:jc w:val="left"/>
      </w:pPr>
      <w:r>
        <w:rPr>
          <w:u w:val="single"/>
        </w:rPr>
        <w:t xml:space="preserve">(13)</w:t>
      </w:r>
      <w:r>
        <w:rPr/>
        <w:t xml:space="preserve"> "Taxable year" means the taxpayer's taxable year as determined under the internal revenue code.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"Taxpayer" means an individual subject to tax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"Washington capital gains" means an individual's adjusted capital gain, as modified in RCW 82.87.060, for each return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040</w:t>
      </w:r>
      <w:r>
        <w:rPr/>
        <w:t xml:space="preserve"> and 2021 c 196 s 5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2022, an excise tax is imposed on the sale or exchange of long-term capital assets. Only individuals are subject to payment of the tax, which equals seven percent multiplied by an individual's Washington capital gains</w:t>
      </w:r>
      <w:r>
        <w:rPr>
          <w:u w:val="single"/>
        </w:rPr>
        <w:t xml:space="preserve">, except as provided in (b) of this subsection (1)</w:t>
      </w:r>
      <w:r>
        <w:rPr/>
        <w:t xml:space="preserve">.</w:t>
      </w:r>
    </w:p>
    <w:p>
      <w:pPr>
        <w:spacing w:before="0" w:after="0" w:line="408" w:lineRule="exact"/>
        <w:ind w:left="0" w:right="0" w:firstLine="576"/>
        <w:jc w:val="left"/>
      </w:pPr>
      <w:r>
        <w:rPr>
          <w:u w:val="single"/>
        </w:rPr>
        <w:t xml:space="preserve">(b) The tax on an individual's Washington capital gains derived primarily as compensation for investment management services is subject to a rate of 14 percent.</w:t>
      </w:r>
    </w:p>
    <w:p>
      <w:pPr>
        <w:spacing w:before="0" w:after="0" w:line="408" w:lineRule="exact"/>
        <w:ind w:left="0" w:right="0" w:firstLine="576"/>
        <w:jc w:val="left"/>
      </w:pPr>
      <w:r>
        <w:rPr/>
        <w:t xml:space="preserve">(2) The tax levied in subsection (1) of this section is necessary for the support of the state government and its existing public institutions.</w:t>
      </w:r>
    </w:p>
    <w:p>
      <w:pPr>
        <w:spacing w:before="0" w:after="0" w:line="408" w:lineRule="exact"/>
        <w:ind w:left="0" w:right="0" w:firstLine="576"/>
        <w:jc w:val="left"/>
      </w:pPr>
      <w:r>
        <w:rPr/>
        <w:t xml:space="preserve">(3) If an individual's Washington capital gains are less than zero for a taxable year, no tax is due under this section and no such amount is allowed as a carryover for use in the calculation of that individual's adjusted capital gain, as defined in RCW 82.87.020(1), for any taxable year. To the extent that a loss carryforward is included in the calculation of an individual's federal net long-term capital gain and that loss carryforward is directly attributable to losses from sales or exchanges allocated to this state under RCW 82.87.100,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(4)(a)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w:t>
      </w:r>
    </w:p>
    <w:p>
      <w:pPr>
        <w:spacing w:before="0" w:after="0" w:line="408" w:lineRule="exact"/>
        <w:ind w:left="0" w:right="0" w:firstLine="576"/>
        <w:jc w:val="left"/>
      </w:pPr>
      <w:r>
        <w:rPr/>
        <w:t xml:space="preserve">(i) An individual is considered to be a beneficial owner of long-term capital assets held by an entity that is a pass-through or disregarded entity for federal tax purposes, such as a partnership, limited liability company, S corporation, or grantor trust, to the extent of the individual's ownership interest in the entity as reported for federal income tax purposes.</w:t>
      </w:r>
    </w:p>
    <w:p>
      <w:pPr>
        <w:spacing w:before="0" w:after="0" w:line="408" w:lineRule="exact"/>
        <w:ind w:left="0" w:right="0" w:firstLine="576"/>
        <w:jc w:val="left"/>
      </w:pPr>
      <w:r>
        <w:rPr/>
        <w:t xml:space="preserve">(ii) A nongrantor trust is deemed to be a grantor trust if the trust does not qualify as a grantor trust for federal tax purposes, and the grantor's transfer of assets to the trust is treated as an incomplete gift under Title 26 U.S.C. Sec. 2511 of the internal revenue code and its accompanying regulations. A grantor of such trust is considered the beneficial owner of the capital assets of the trust for purposes of the tax imposed in this section and must include any long-term capital gain or loss from the sale or exchange of a capital asset by the trust in the calculation of that individual's adjusted capital gain, if such gain or loss is allocated to this state under RCW 82.87.100.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b1fd29c4d7d946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fc17ec30142b1" /><Relationship Type="http://schemas.openxmlformats.org/officeDocument/2006/relationships/footer" Target="/word/footer1.xml" Id="Rb1fd29c4d7d9466a" /></Relationships>
</file>