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0a2051b52a47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Conway, Kuderer, Randall,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living donor act;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all insurers, fraternal benefit societies, health carriers including disability insurers, health maintenance organizations, and health care service contractors, and limited health care service contractors may not:</w:t>
      </w:r>
    </w:p>
    <w:p>
      <w:pPr>
        <w:spacing w:before="0" w:after="0" w:line="408" w:lineRule="exact"/>
        <w:ind w:left="0" w:right="0" w:firstLine="576"/>
        <w:jc w:val="left"/>
      </w:pPr>
      <w:r>
        <w:rPr/>
        <w:t xml:space="preserve">(a) Decline or limit coverage of a person under a policy or contract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a person based solely and without any additional actuarial risks upon the status of the person as a living organ donor. Except as provided in RCW 48.43.0128, 48.44.220, or 48.46.370,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For purposes of this section, "living organ donor" means an individual who has donated all or part of an organ and is not deceased.</w:t>
      </w:r>
    </w:p>
    <w:p/>
    <w:p>
      <w:pPr>
        <w:jc w:val="center"/>
      </w:pPr>
      <w:r>
        <w:rPr>
          <w:b/>
        </w:rPr>
        <w:t>--- END ---</w:t>
      </w:r>
    </w:p>
    <w:sectPr>
      <w:pgNumType w:start="1"/>
      <w:footerReference xmlns:r="http://schemas.openxmlformats.org/officeDocument/2006/relationships" r:id="R63693000f52a43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334f28b587494f" /><Relationship Type="http://schemas.openxmlformats.org/officeDocument/2006/relationships/footer" Target="/word/footer1.xml" Id="R63693000f52a43e3" /></Relationships>
</file>