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1109fbfcf40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Hunt, Kuderer, and Wilson, C.)</w:t>
      </w:r>
    </w:p>
    <w:p/>
    <w:p>
      <w:r>
        <w:rPr>
          <w:t xml:space="preserve">READ FIRST TIME 01/18/21.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redistricting deadlines; amending RCW 29A.76.010 and 29A.76.010; reenacting and amending RCW 29A.92.050 and 29A.92.050;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w:t>
      </w:r>
      <w:r>
        <w:t>((</w:t>
      </w:r>
      <w:r>
        <w:rPr>
          <w:strike/>
        </w:rPr>
        <w:t xml:space="preserve">no later than eight months after its receipt of federal decennial census data,</w:t>
      </w:r>
      <w:r>
        <w:t>))</w:t>
      </w:r>
      <w:r>
        <w:rPr/>
        <w:t xml:space="preserve"> the governing body of the municipal corporation, county, or district shall prepare a plan for redistricting its internal or director districts</w:t>
      </w:r>
      <w:r>
        <w:rPr>
          <w:u w:val="single"/>
        </w:rPr>
        <w:t xml:space="preserve">:</w:t>
      </w:r>
    </w:p>
    <w:p>
      <w:pPr>
        <w:spacing w:before="0" w:after="0" w:line="408" w:lineRule="exact"/>
        <w:ind w:left="0" w:right="0" w:firstLine="576"/>
        <w:jc w:val="left"/>
      </w:pPr>
      <w:r>
        <w:rPr>
          <w:u w:val="single"/>
        </w:rPr>
        <w:t xml:space="preserve">(a) By December 31, 2021, if the jurisdiction is scheduled to elect members to its governing body in 2022; or</w:t>
      </w:r>
    </w:p>
    <w:p>
      <w:pPr>
        <w:spacing w:before="0" w:after="0" w:line="408" w:lineRule="exact"/>
        <w:ind w:left="0" w:right="0" w:firstLine="576"/>
        <w:jc w:val="left"/>
      </w:pPr>
      <w:r>
        <w:rPr>
          <w:u w:val="single"/>
        </w:rPr>
        <w:t xml:space="preserve">(b) By November 15, 2022, if the jurisdiction is not scheduled to elect members to its governing body in 2022</w:t>
      </w:r>
      <w:r>
        <w:rPr/>
        <w:t xml:space="preserve">.</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w:t>
      </w:r>
      <w:r>
        <w:t>((</w:t>
      </w:r>
      <w:r>
        <w:rPr>
          <w:strike/>
        </w:rPr>
        <w:t xml:space="preserve">No later than eight months after its receipt of federal decennial census data, the</w:t>
      </w:r>
      <w:r>
        <w:t>))</w:t>
      </w:r>
      <w:r>
        <w:rPr/>
        <w:t xml:space="preserve"> </w:t>
      </w:r>
      <w:r>
        <w:rPr>
          <w:u w:val="single"/>
        </w:rPr>
        <w:t xml:space="preserve">The</w:t>
      </w:r>
      <w:r>
        <w:rPr/>
        <w:t xml:space="preserv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r>
        <w:rPr>
          <w:u w:val="single"/>
        </w:rPr>
        <w:t xml:space="preserve">:</w:t>
      </w:r>
    </w:p>
    <w:p>
      <w:pPr>
        <w:spacing w:before="0" w:after="0" w:line="408" w:lineRule="exact"/>
        <w:ind w:left="0" w:right="0" w:firstLine="576"/>
        <w:jc w:val="left"/>
      </w:pPr>
      <w:r>
        <w:rPr>
          <w:u w:val="single"/>
        </w:rPr>
        <w:t xml:space="preserve">(a) By December 31, 2021, if the political subdivision is scheduled to elect members to its governing body in 2022; or</w:t>
      </w:r>
    </w:p>
    <w:p>
      <w:pPr>
        <w:spacing w:before="0" w:after="0" w:line="408" w:lineRule="exact"/>
        <w:ind w:left="0" w:right="0" w:firstLine="576"/>
        <w:jc w:val="left"/>
      </w:pPr>
      <w:r>
        <w:rPr>
          <w:u w:val="single"/>
        </w:rPr>
        <w:t xml:space="preserve">(b) By November 15, 2022, if the political subdivision is not scheduled to elect members to its governing body in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fc208a540e5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4059e69fe40ca" /><Relationship Type="http://schemas.openxmlformats.org/officeDocument/2006/relationships/footer" Target="/word/footer1.xml" Id="Rafc208a540e5488a" /></Relationships>
</file>