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1de9ec31b43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5293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5293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Nobles, Darneille, Das, Dhingra, Hasegawa, Keiser, Lovelett, Nguyen, Rivers, Salomon, Van De Wege,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sentencing alternatives; amending RCW 9.94A.501, 9.94A.505, 9.94A.633, and 9.94A.6332; reenacting and amending RCW 9.94A.701; adding a new section to chapter 9.94A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the treatment provider that has agreed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(6)(a)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(7)(a) If the court imposes this sentencing alternative, the court shall impose conditions under RCW 9.94A.703 that do not conflict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rPr/>
        <w:t xml:space="preserve">(8)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rPr/>
        <w:t xml:space="preserve">(9)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rPr/>
        <w:t xml:space="preserve">(10)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rPr/>
        <w:t xml:space="preserve">(11)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w:t>
      </w:r>
      <w:r>
        <w:t>((</w:t>
      </w:r>
      <w:r>
        <w:rPr>
          <w:strike/>
        </w:rPr>
        <w:t xml:space="preserve">(8)</w:t>
      </w:r>
      <w:r>
        <w:t>))</w:t>
      </w:r>
      <w:r>
        <w:rPr/>
        <w:t xml:space="preserve"> </w:t>
      </w:r>
      <w:r>
        <w:rPr>
          <w:u w:val="single"/>
        </w:rPr>
        <w:t xml:space="preserve">(9)</w:t>
      </w:r>
      <w:r>
        <w:rPr/>
        <w:t xml:space="preserve">,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2019 c 191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w:t>
      </w:r>
      <w:r>
        <w:rPr>
          <w:u w:val="single"/>
        </w:rPr>
        <w:t xml:space="preserve">Section 1 of this act, relating to the mental health sentencing alternative;</w:t>
      </w:r>
    </w:p>
    <w:p>
      <w:pPr>
        <w:spacing w:before="0" w:after="0" w:line="408" w:lineRule="exact"/>
        <w:ind w:left="0" w:right="0" w:firstLine="576"/>
        <w:jc w:val="left"/>
      </w:pPr>
      <w:r>
        <w:rPr>
          <w:u w:val="single"/>
        </w:rPr>
        <w:t xml:space="preserve">(x)</w:t>
      </w:r>
      <w:r>
        <w:rPr/>
        <w:t xml:space="preserve"> RCW 9.94A.507, relating to certain sex offenses;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9.94A.535, relating to exceptional sentences;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9.94A.589, relating to consecutive and concurrent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rPr/>
        <w:t xml:space="preserve">(d)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rPr/>
        <w:t xml:space="preserve">(e) </w:t>
      </w:r>
      <w:r>
        <w:rPr>
          <w:u w:val="single"/>
        </w:rPr>
        <w:t xml:space="preserve">If the offender was sentenced under the mental health sentencing alternative set out in section 1 of this act, the offender may be sanctioned in accordance with that section.</w:t>
      </w:r>
    </w:p>
    <w:p>
      <w:pPr>
        <w:spacing w:before="0" w:after="0" w:line="408" w:lineRule="exact"/>
        <w:ind w:left="0" w:right="0" w:firstLine="576"/>
        <w:jc w:val="left"/>
      </w:pPr>
      <w:r>
        <w:rPr>
          <w:u w:val="single"/>
        </w:rPr>
        <w:t xml:space="preserve">(f)</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w:t>
      </w:r>
      <w:r>
        <w:rPr>
          <w:u w:val="single"/>
        </w:rPr>
        <w:t xml:space="preserve">If the offender was sentenced under the mental health sentencing alternative, any sanctions shall be imposed by the department or the court pursuant to section 1 of this act.</w:t>
      </w:r>
    </w:p>
    <w:p>
      <w:pPr>
        <w:spacing w:before="0" w:after="0" w:line="408" w:lineRule="exact"/>
        <w:ind w:left="0" w:right="0" w:firstLine="576"/>
        <w:jc w:val="left"/>
      </w:pPr>
      <w:r>
        <w:rPr>
          <w:u w:val="single"/>
        </w:rPr>
        <w:t xml:space="preserve">(5)</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w:t>
      </w:r>
      <w:r>
        <w:rPr>
          <w:u w:val="single"/>
        </w:rPr>
        <w:t xml:space="preserve">If the offender is sentenced under the mental health sentencing alternative, the court shall impose a term of community custody as provided in section 1 of this act.</w:t>
      </w:r>
    </w:p>
    <w:p>
      <w:pPr>
        <w:spacing w:before="0" w:after="0" w:line="408" w:lineRule="exact"/>
        <w:ind w:left="0" w:right="0" w:firstLine="576"/>
        <w:jc w:val="left"/>
      </w:pPr>
      <w:r>
        <w:rPr>
          <w:u w:val="single"/>
        </w:rPr>
        <w:t xml:space="preserve">(9)</w:t>
      </w:r>
      <w:r>
        <w:rPr/>
        <w:t xml:space="preserve"> If a sex offender is sentenced as a nonpersistent offender pursuant to RCW 9.94A.507, the court shall impose community custody as provided in that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20, 2021.</w:t>
      </w:r>
    </w:p>
    <w:p/>
    <w:p>
      <w:pPr>
        <w:jc w:val="center"/>
      </w:pPr>
      <w:r>
        <w:rPr>
          <w:b/>
        </w:rPr>
        <w:t>--- END ---</w:t>
      </w:r>
    </w:p>
    <w:sectPr>
      <w:pgNumType w:start="1"/>
      <w:footerReference xmlns:r="http://schemas.openxmlformats.org/officeDocument/2006/relationships" r:id="Rc0864ea731664c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8a931bc0c4436" /><Relationship Type="http://schemas.openxmlformats.org/officeDocument/2006/relationships/footer" Target="/word/footer1.xml" Id="Rc0864ea731664c42" /></Relationships>
</file>