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f0bda606324f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5304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74</w:t>
            </w:r>
            <w:r>
              <w:t xml:space="preserve">  Nays </w:t>
              <w:t xml:space="preserve">23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Darneille, Das, Frockt, Hasegawa, Holy, Lovelett, Nguyen, Rivers, and Wellman)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72.09.270, and 43.380.020;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considering releasing persons from state and local institutions, realizing the safety of the public is the primary concern. The legislature also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(2)(a) In addition, the authority shall convene a subcommittee of the work group consisting of a representative of the authority, one representative of each managed care organization contracted with the authority under chapter 74.09 RCW, representatives of the Washington association of sheriffs and police chiefs, representatives of jails, and other members that the work group determines are appropriate to inform the tasks of the work group.</w:t>
      </w:r>
    </w:p>
    <w:p>
      <w:pPr>
        <w:spacing w:before="0" w:after="0" w:line="408" w:lineRule="exact"/>
        <w:ind w:left="0" w:right="0" w:firstLine="576"/>
        <w:jc w:val="left"/>
      </w:pPr>
      <w:r>
        <w:rPr/>
        <w:t xml:space="preserve">(b) The subcommittee must:</w:t>
      </w:r>
    </w:p>
    <w:p>
      <w:pPr>
        <w:spacing w:before="0" w:after="0" w:line="408" w:lineRule="exact"/>
        <w:ind w:left="0" w:right="0" w:firstLine="576"/>
        <w:jc w:val="left"/>
      </w:pPr>
      <w:r>
        <w:rPr/>
        <w:t xml:space="preserve">(i) Determine and make progress toward implementing a process for transmitting real-time location information related to incarcerated individuals to the managed care organization in which the individual is enrolled;</w:t>
      </w:r>
    </w:p>
    <w:p>
      <w:pPr>
        <w:spacing w:before="0" w:after="0" w:line="408" w:lineRule="exact"/>
        <w:ind w:left="0" w:right="0" w:firstLine="576"/>
        <w:jc w:val="left"/>
      </w:pPr>
      <w:r>
        <w:rPr/>
        <w:t xml:space="preserve">(ii) Develop a process to transmit patient health information between jails and managed care organizations to ensure high quality health care for incarcerated individuals enrolled in a managed care organization; and</w:t>
      </w:r>
    </w:p>
    <w:p>
      <w:pPr>
        <w:spacing w:before="0" w:after="0" w:line="408" w:lineRule="exact"/>
        <w:ind w:left="0" w:right="0" w:firstLine="576"/>
        <w:jc w:val="left"/>
      </w:pPr>
      <w:r>
        <w:rPr/>
        <w:t xml:space="preserve">(iii) Improve collaboration between the authority, the managed care organizations, and the jails as it pertains to care coordination both when an individual enters custody and upon release.</w:t>
      </w:r>
    </w:p>
    <w:p>
      <w:pPr>
        <w:spacing w:before="0" w:after="0" w:line="408" w:lineRule="exact"/>
        <w:ind w:left="0" w:right="0" w:firstLine="576"/>
        <w:jc w:val="left"/>
      </w:pPr>
      <w:r>
        <w:rPr/>
        <w:t xml:space="preserve">(c) The subcommittee must submit an initial report to the relevant committees of the legislature by December 1, 2021, and a final report by December 1, 2022. The reports shall evaluate the progress of managed care organizations with respect to meeting their contractual obligations regarding clinical coordination when an individual enters custody as well as care coordination and connection to reentry services upon release, including any corrective action taken by the authority against a managed care organization related to noncompliance. The reports shall also identify any barriers to effective care coordination for individuals in jail and recommendations to overcome those barriers.</w:t>
      </w:r>
    </w:p>
    <w:p>
      <w:pPr>
        <w:spacing w:before="0" w:after="0" w:line="408" w:lineRule="exact"/>
        <w:ind w:left="0" w:right="0" w:firstLine="576"/>
        <w:jc w:val="left"/>
      </w:pPr>
      <w:r>
        <w:rPr/>
        <w:t xml:space="preserve">(3)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jail administrators;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(4) The work group must provide a progress report to the governor and appropriate committees of the legislature by July 1, 2022, and a final report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July 1, 2022, and a final report by November 1, 2023,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t>((</w:t>
      </w:r>
      <w:r>
        <w:rPr>
          <w:strike/>
        </w:rPr>
        <w:t xml:space="preserve">(3) Except during the 2019-2021 fiscal biennium, the department may not designate additional full-time staff to the administration of the council beyond the executive director.</w:t>
      </w:r>
      <w:r>
        <w:t>))</w:t>
      </w:r>
    </w:p>
    <w:p/>
    <w:p>
      <w:pPr>
        <w:jc w:val="center"/>
      </w:pPr>
      <w:r>
        <w:rPr>
          <w:b/>
        </w:rPr>
        <w:t>--- END ---</w:t>
      </w:r>
    </w:p>
    <w:sectPr>
      <w:pgNumType w:start="1"/>
      <w:footerReference xmlns:r="http://schemas.openxmlformats.org/officeDocument/2006/relationships" r:id="Rfbd087d6cb9344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aecef178d84cd7" /><Relationship Type="http://schemas.openxmlformats.org/officeDocument/2006/relationships/footer" Target="/word/footer1.xml" Id="Rfbd087d6cb934422" /></Relationships>
</file>