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a3b36b485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Short, Fortunato,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rural economic development; amending RCW 36.70A.330 and 43.155.070; adding a new section to chapter 35A.14 RCW; adding a new section to chapter 36.70A RCW; adding a new section to chapter 43.160 RCW; adding a new section to chapter 80.36 RCW;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may include use of a sales tax credit for annexed areas should such a credit be reinstated by the legislature.</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0" w:after="0" w:line="408" w:lineRule="exact"/>
        <w:ind w:left="0" w:right="0" w:firstLine="576"/>
        <w:jc w:val="left"/>
      </w:pPr>
      <w:r>
        <w:rPr/>
        <w:t xml:space="preserve">(5) By December 1, 2021, the association of Washington cities and the Washington state association of counties shall report to the legislature, in compliance with RCW 43.01.036, on how a sales tax credit may be utilized to encourage appropriate annexations and what limits should be associated with such a credit if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 and to provide training pursuant to section 3 of this act as necessary.</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offer training to assist local governments in understanding findings of noncompliance from the growth management hearings board pursuant to RCW 36.70A.300 and 36.70A.330 and applying prior decisions of the board to ongoing planning efforts to avoid findings of noncompliance.</w:t>
      </w:r>
    </w:p>
    <w:p>
      <w:pPr>
        <w:spacing w:before="0" w:after="0" w:line="408" w:lineRule="exact"/>
        <w:ind w:left="0" w:right="0" w:firstLine="576"/>
        <w:jc w:val="left"/>
      </w:pPr>
      <w:r>
        <w:rPr/>
        <w:t xml:space="preserve">(2) The department may award grants to a public agency with appropriate expertise and funded by local governments to provide the training required in subsection (1) of this section.</w:t>
      </w:r>
    </w:p>
    <w:p>
      <w:pPr>
        <w:spacing w:before="0" w:after="0" w:line="408" w:lineRule="exact"/>
        <w:ind w:left="0" w:right="0" w:firstLine="576"/>
        <w:jc w:val="left"/>
      </w:pPr>
      <w:r>
        <w:rPr/>
        <w:t xml:space="preserve">(3) The training provided in subsection (1) of this section is limited to counties that are largely rural.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and except as provided in subsection (12) of this section,</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provisions in subsection (2) of this section do not apply to a county, city, or town applying for grants and loans under this chapter for projects that support broadband services where such grants and loans will assist the county, city, or town with economic development, disaster resiliency and response, adaptation to public health emergencies such as pandemics, and emergency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board is prohibited from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is prohibited form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is prohibited from considering whether a county, city, or town is compliant with chapter 36.70A RCW when considering applications for broadband funding.</w:t>
      </w:r>
    </w:p>
    <w:p/>
    <w:p>
      <w:pPr>
        <w:jc w:val="center"/>
      </w:pPr>
      <w:r>
        <w:rPr>
          <w:b/>
        </w:rPr>
        <w:t>--- END ---</w:t>
      </w:r>
    </w:p>
    <w:sectPr>
      <w:pgNumType w:start="1"/>
      <w:footerReference xmlns:r="http://schemas.openxmlformats.org/officeDocument/2006/relationships" r:id="Re87755c6842948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21fca7cd94650" /><Relationship Type="http://schemas.openxmlformats.org/officeDocument/2006/relationships/footer" Target="/word/footer1.xml" Id="Re87755c6842948dd" /></Relationships>
</file>