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6a5ce70484f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5423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Rivers, Cleveland, and Holy)</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consultations; and amending RCW 18.71.030 and 18.57.040.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2019 c 270 s 3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w:t>
      </w:r>
      <w:r>
        <w:rPr>
          <w:u w:val="single"/>
        </w:rPr>
        <w:t xml:space="preserve">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The </w:t>
      </w:r>
      <w:r>
        <w:rPr>
          <w:u w:val="single"/>
        </w:rPr>
        <w:t xml:space="preserve">in-person</w:t>
      </w:r>
      <w:r>
        <w:rPr/>
        <w:t xml:space="preserv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w:t>
      </w:r>
      <w:r>
        <w:t>((</w:t>
      </w:r>
      <w:r>
        <w:rPr>
          <w:strike/>
        </w:rPr>
        <w:t xml:space="preserve">or</w:t>
      </w:r>
      <w:r>
        <w:t>))</w:t>
      </w:r>
      <w:r>
        <w:rPr/>
        <w:t xml:space="preserve">; </w:t>
      </w:r>
      <w:r>
        <w:rPr>
          <w:u w:val="single"/>
        </w:rPr>
        <w:t xml:space="preserve">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2019 c 270 s 2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w:t>
      </w:r>
      <w:r>
        <w:rPr>
          <w:u w:val="single"/>
        </w:rPr>
        <w:t xml:space="preserve">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w:t>
      </w:r>
      <w:r>
        <w:t>((</w:t>
      </w:r>
      <w:r>
        <w:rPr>
          <w:strike/>
        </w:rPr>
        <w:t xml:space="preserve">Practice</w:t>
      </w:r>
      <w:r>
        <w:t>))</w:t>
      </w:r>
      <w:r>
        <w:rPr/>
        <w:t xml:space="preserve"> </w:t>
      </w:r>
      <w:r>
        <w:rPr>
          <w:u w:val="single"/>
        </w:rPr>
        <w:t xml:space="preserve">In-person practice</w:t>
      </w:r>
      <w:r>
        <w:rPr/>
        <w:t xml:space="preserv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Practice by a person who is a student enrolled in an accredited school of osteopathic medicine and surgery approved by the board if:</w:t>
      </w:r>
    </w:p>
    <w:p>
      <w:pPr>
        <w:spacing w:before="0" w:after="0" w:line="408" w:lineRule="exact"/>
        <w:ind w:left="0" w:right="0" w:firstLine="576"/>
        <w:jc w:val="left"/>
      </w:pPr>
      <w:r>
        <w:rPr/>
        <w:t xml:space="preserve">(a) The performance of such services is only pursuant to a course of instruction or assignments from his or her instructor or school, and such services are performed only under the supervision of a person licensed pursuant to this chapter or chapter 18.71 RCW; or</w:t>
      </w:r>
    </w:p>
    <w:p>
      <w:pPr>
        <w:spacing w:before="0" w:after="0" w:line="408" w:lineRule="exact"/>
        <w:ind w:left="0" w:right="0" w:firstLine="576"/>
        <w:jc w:val="left"/>
      </w:pPr>
      <w:r>
        <w:rPr/>
        <w:t xml:space="preserve">(b)(i)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 physician licensed under chapter 18.71 RCW, an osteopathic physician and surgeon licensed under </w:t>
      </w:r>
      <w:r>
        <w:rPr>
          <w:u w:val="single"/>
        </w:rPr>
        <w:t xml:space="preserve">this</w:t>
      </w:r>
      <w:r>
        <w:rPr/>
        <w:t xml:space="preserve"> chapter </w:t>
      </w:r>
      <w:r>
        <w:t>((</w:t>
      </w:r>
      <w:r>
        <w:rPr>
          <w:strike/>
        </w:rPr>
        <w:t xml:space="preserve">18.57 RCW</w:t>
      </w:r>
      <w:r>
        <w:t>))</w:t>
      </w:r>
      <w:r>
        <w:rPr/>
        <w:t xml:space="preserve">,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
      <w:pPr>
        <w:jc w:val="center"/>
      </w:pPr>
      <w:r>
        <w:rPr>
          <w:b/>
        </w:rPr>
        <w:t>--- END ---</w:t>
      </w:r>
    </w:p>
    <w:sectPr>
      <w:pgNumType w:start="1"/>
      <w:footerReference xmlns:r="http://schemas.openxmlformats.org/officeDocument/2006/relationships" r:id="R1a59b44d2cd245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4f31177b64315" /><Relationship Type="http://schemas.openxmlformats.org/officeDocument/2006/relationships/footer" Target="/word/footer1.xml" Id="R1a59b44d2cd245ea" /></Relationships>
</file>