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43d80a03644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Rolfes, Warnick, Hasegawa, Lovelett, Lovick, Mullet, Pedersen, Van De Wege, Wagoner, and C. Wilson</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a property tax exemption for property owned by certain nonprofit organizations where a portion of the property is used for the purpose of a farmers market; amending RCW 84.36.020 and 84.36.805;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w:t>
      </w:r>
      <w:r>
        <w:rPr>
          <w:u w:val="single"/>
        </w:rPr>
        <w:t xml:space="preserve">. The 15-day and 50-day limitations provided in this subsection (2)(b)(ii) do not apply to the use of the property for pecuniary gain or for business activities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The exempt property may be used for up to 53 days for the purposes of a qualifying farmers market</w:t>
      </w:r>
      <w:r>
        <w:rPr/>
        <w:t xml:space="preserve">;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u w:val="single"/>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and prospectively to taxes levied for collection in 2021 and thereafter.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b81e3ccf6ede4c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c19c5945945c3" /><Relationship Type="http://schemas.openxmlformats.org/officeDocument/2006/relationships/footer" Target="/word/footer1.xml" Id="Rb81e3ccf6ede4ce4" /></Relationships>
</file>