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dee8015a14f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5664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Dhingra, Keiser,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forensic competency restoration programs; amending RCW 10.77.060, 10.77.068, 10.77.086, 10.77.088, and 10.77.250; reenacting and amending RCW 10.77.010; adding new sections to chapter 10.77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w:t>
      </w:r>
      <w:r>
        <w:t>((</w:t>
      </w:r>
      <w:r>
        <w:rPr>
          <w:strike/>
        </w:rPr>
        <w:t xml:space="preserve">or</w:t>
      </w:r>
      <w:r>
        <w:t>))</w:t>
      </w:r>
    </w:p>
    <w:p>
      <w:pPr>
        <w:spacing w:before="0" w:after="0" w:line="408" w:lineRule="exact"/>
        <w:ind w:left="0" w:right="0" w:firstLine="576"/>
        <w:jc w:val="left"/>
      </w:pPr>
      <w:r>
        <w:rPr/>
        <w:t xml:space="preserve">(c) </w:t>
      </w:r>
      <w:r>
        <w:rPr>
          <w:u w:val="single"/>
        </w:rPr>
        <w:t xml:space="preserve">A psychiatric advanced registered nurse practitioner, as defined in RCW 71.05.020; or</w:t>
      </w:r>
    </w:p>
    <w:p>
      <w:pPr>
        <w:spacing w:before="0" w:after="0" w:line="408" w:lineRule="exact"/>
        <w:ind w:left="0" w:right="0" w:firstLine="576"/>
        <w:jc w:val="left"/>
      </w:pPr>
      <w:r>
        <w:rPr>
          <w:u w:val="single"/>
        </w:rPr>
        <w:t xml:space="preserve">(d)</w:t>
      </w:r>
      <w:r>
        <w:rPr/>
        <w:t xml:space="preserve">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u w:val="single"/>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u w:val="single"/>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complete a competency evaluation in jail and distribute the evaluation report; and</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w:t>
      </w:r>
    </w:p>
    <w:p>
      <w:pPr>
        <w:spacing w:before="0" w:after="0" w:line="408" w:lineRule="exact"/>
        <w:ind w:left="0" w:right="0" w:firstLine="576"/>
        <w:jc w:val="left"/>
      </w:pPr>
      <w:r>
        <w:rPr>
          <w:u w:val="single"/>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u w:val="single"/>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 The time periods measured in these performance targets and maximum time limits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rPr>
          <w:u w:val="single"/>
        </w:rPr>
        <w:t xml:space="preserve">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r>
        <w:rPr/>
        <w:t xml:space="preserve">.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competency</w:t>
      </w:r>
      <w:r>
        <w:rPr/>
        <w:t xml:space="preserve"> restoration period</w:t>
      </w:r>
      <w:r>
        <w:rPr>
          <w:u w:val="single"/>
        </w:rPr>
        <w:t xml:space="preserve">,</w:t>
      </w:r>
      <w:r>
        <w:rPr/>
        <w:t xml:space="preserve"> or at the end of the first </w:t>
      </w:r>
      <w:r>
        <w:rPr>
          <w:u w:val="single"/>
        </w:rPr>
        <w:t xml:space="preserve">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w:t>
      </w:r>
      <w:r>
        <w:rPr>
          <w:u w:val="single"/>
        </w:rPr>
        <w:t xml:space="preserve">or is actively participating in an outpatient competency restoration program</w:t>
      </w:r>
      <w:r>
        <w:rPr/>
        <w:t xml:space="preserve">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competency restoration treatment is likely to be successful, in addition to the factors listed under RCW 10.77.092. If the prosecuting attorney proves by a preponderance of the evidence that there is a compelling state interest in ordering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u w:val="single"/>
        </w:rPr>
        <w:t xml:space="preserve">, but the total period of inpatient competency restoration may not exceed 29 days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b0bdc287914e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bb56dc5f946ba" /><Relationship Type="http://schemas.openxmlformats.org/officeDocument/2006/relationships/footer" Target="/word/footer1.xml" Id="R01b0bdc287914edc" /></Relationships>
</file>