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81ec1c99b046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5895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5895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Frockt and Mullet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timing restrictions for remedial action grants to local government; amending RCW 70A.305.190;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Remedial action grants are an effective means to assist a local government achieve toxic waste cleanup; and</w:t>
      </w:r>
    </w:p>
    <w:p>
      <w:pPr>
        <w:spacing w:before="0" w:after="0" w:line="408" w:lineRule="exact"/>
        <w:ind w:left="0" w:right="0" w:firstLine="576"/>
        <w:jc w:val="left"/>
      </w:pPr>
      <w:r>
        <w:rPr/>
        <w:t xml:space="preserve">(2) Requiring a local government to have all the necessary permits in hand prior to receiving remedial action grant funding has caused unintended delays in implementing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190</w:t>
      </w:r>
      <w:r>
        <w:rPr/>
        <w:t xml:space="preserve"> and 2020 c 20 s 1320 are each amended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w:t>
      </w:r>
    </w:p>
    <w:p>
      <w:pPr>
        <w:spacing w:before="0" w:after="0" w:line="408" w:lineRule="exact"/>
        <w:ind w:left="0" w:right="0" w:firstLine="576"/>
        <w:jc w:val="left"/>
      </w:pPr>
      <w:r>
        <w:rPr/>
        <w:t xml:space="preserve">(a) The costs of remedial actions recovered under this chapter, except as provided under RCW 70A.305.170(7);</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 Moneys in the model toxics control capital account may be used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(a) Remedial actions, including the following generally in descending order of priority:</w:t>
      </w:r>
    </w:p>
    <w:p>
      <w:pPr>
        <w:spacing w:before="0" w:after="0" w:line="408" w:lineRule="exact"/>
        <w:ind w:left="0" w:right="0" w:firstLine="576"/>
        <w:jc w:val="left"/>
      </w:pPr>
      <w:r>
        <w:rPr/>
        <w:t xml:space="preserve">(i) Extended grant agreements entered into under subsection (5)(a) of this section;</w:t>
      </w:r>
    </w:p>
    <w:p>
      <w:pPr>
        <w:spacing w:before="0" w:after="0" w:line="408" w:lineRule="exact"/>
        <w:ind w:left="0" w:right="0" w:firstLine="576"/>
        <w:jc w:val="left"/>
      </w:pPr>
      <w:r>
        <w:rPr/>
        <w:t xml:space="preserve">(ii) Grants or loans to local governments for remedial actions, including planning for adaptive reuse of properties as provided for under subsection (5)(d) of this 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w:t>
      </w:r>
    </w:p>
    <w:p>
      <w:pPr>
        <w:spacing w:before="0" w:after="0" w:line="408" w:lineRule="exact"/>
        <w:ind w:left="0" w:right="0" w:firstLine="576"/>
        <w:jc w:val="left"/>
      </w:pPr>
      <w:r>
        <w:rPr/>
        <w:t xml:space="preserve">(v) Public funding to assist potentially liable persons to pay for the costs of remedial action in compliance with clean-up standards under RCW 70A.305.030(2)(e) if:</w:t>
      </w:r>
    </w:p>
    <w:p>
      <w:pPr>
        <w:spacing w:before="0" w:after="0" w:line="408" w:lineRule="exact"/>
        <w:ind w:left="0" w:right="0" w:firstLine="576"/>
        <w:jc w:val="left"/>
      </w:pPr>
      <w:r>
        <w:rPr/>
        <w:t xml:space="preserve">(A) The amount and terms of the funding are established under a settlement agreement under RCW 70A.305.040(4);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 Public funding to assist prospective purchasers to pay for the costs of remedial action in compliance with clean-up standards under RCW 70A.305.030(2)(e) if:</w:t>
      </w:r>
    </w:p>
    <w:p>
      <w:pPr>
        <w:spacing w:before="0" w:after="0" w:line="408" w:lineRule="exact"/>
        <w:ind w:left="0" w:right="0" w:firstLine="576"/>
        <w:jc w:val="left"/>
      </w:pPr>
      <w:r>
        <w:rPr/>
        <w:t xml:space="preserve">(A) The facility is located within a redevelopment opportunity zone designated under RCW 70A.305.150;</w:t>
      </w:r>
    </w:p>
    <w:p>
      <w:pPr>
        <w:spacing w:before="0" w:after="0" w:line="408" w:lineRule="exact"/>
        <w:ind w:left="0" w:right="0" w:firstLine="576"/>
        <w:jc w:val="left"/>
      </w:pPr>
      <w:r>
        <w:rPr/>
        <w:t xml:space="preserve">(B) The amount and terms of the funding are established under a settlement agreement under RCW 70A.305.040(5);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 To expedite multiparty clean-up efforts, purchase of remedial action cost-cap insurance;</w:t>
      </w:r>
    </w:p>
    <w:p>
      <w:pPr>
        <w:spacing w:before="0" w:after="0" w:line="408" w:lineRule="exact"/>
        <w:ind w:left="0" w:right="0" w:firstLine="576"/>
        <w:jc w:val="left"/>
      </w:pPr>
      <w:r>
        <w:rPr/>
        <w:t xml:space="preserve">(b) Grants, or loans, or contracts to local governments for solid waste plans and programs under chapters 70A.205, 70A.214, 70A.224, 70A.222, 70A.230, and 70A.300 RCW.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loans, or contracts to local governments for hazardous waste plans and programs under chapters 70A.405 and 70A.300 RCW, including chemical action plan implementation. Funds must be allocated consistent with priorities and matching requirements in the respective chapters; and</w:t>
      </w:r>
    </w:p>
    <w:p>
      <w:pPr>
        <w:spacing w:before="0" w:after="0" w:line="408" w:lineRule="exact"/>
        <w:ind w:left="0" w:right="0" w:firstLine="576"/>
        <w:jc w:val="left"/>
      </w:pPr>
      <w:r>
        <w:rPr/>
        <w:t xml:space="preserve">(e) Petroleum-based plastic or expanded polystyrene foam debris clean-up activities in fresh or marine waters.</w:t>
      </w:r>
    </w:p>
    <w:p>
      <w:pPr>
        <w:spacing w:before="0" w:after="0" w:line="408" w:lineRule="exact"/>
        <w:ind w:left="0" w:right="0" w:firstLine="576"/>
        <w:jc w:val="left"/>
      </w:pPr>
      <w:r>
        <w:rPr/>
        <w:t xml:space="preserve">(5) The department may establish and administer a program to provide grants and loans to local governments for remedial actions, including planning for adaptive reuse of contaminated properties. </w:t>
      </w:r>
      <w:r>
        <w:t>((</w:t>
      </w:r>
      <w:r>
        <w:rPr>
          <w:strike/>
        </w:rPr>
        <w:t xml:space="preserve">The department may not award a grant or loan for a remedial action unless the local government has obtained all of the required permits for the action within one year of the effective date of the enacted budget.</w:t>
      </w:r>
      <w:r>
        <w:t>))</w:t>
      </w:r>
      <w:r>
        <w:rPr/>
        <w:t xml:space="preserv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(a) Enter into an extended grant agreement with a local government conducting remedial actions at a facility where those actions extend over multiple biennia and the total eligible cost of those actions exceeds </w:t>
      </w:r>
      <w:r>
        <w:t>((</w:t>
      </w:r>
      <w:r>
        <w:rPr>
          <w:strike/>
        </w:rPr>
        <w:t xml:space="preserve">twenty million dollars</w:t>
      </w:r>
      <w:r>
        <w:t>))</w:t>
      </w:r>
      <w:r>
        <w:rPr/>
        <w:t xml:space="preserve"> </w:t>
      </w:r>
      <w:r>
        <w:rPr>
          <w:u w:val="single"/>
        </w:rPr>
        <w:t xml:space="preserve">$20,000,000</w:t>
      </w:r>
      <w:r>
        <w:rPr/>
        <w:t xml:space="preserve">. The agreement is subject to the following limitations:</w:t>
      </w:r>
    </w:p>
    <w:p>
      <w:pPr>
        <w:spacing w:before="0" w:after="0" w:line="408" w:lineRule="exact"/>
        <w:ind w:left="0" w:right="0" w:firstLine="576"/>
        <w:jc w:val="left"/>
      </w:pPr>
      <w:r>
        <w:rPr/>
        <w:t xml:space="preserve">(i) The initial duration of such an agreement may not exceed </w:t>
      </w:r>
      <w:r>
        <w:t>((</w:t>
      </w:r>
      <w:r>
        <w:rPr>
          <w:strike/>
        </w:rPr>
        <w:t xml:space="preserve">ten</w:t>
      </w:r>
      <w:r>
        <w:t>))</w:t>
      </w:r>
      <w:r>
        <w:rPr/>
        <w:t xml:space="preserve"> </w:t>
      </w:r>
      <w:r>
        <w:rPr>
          <w:u w:val="single"/>
        </w:rPr>
        <w:t xml:space="preserve">10</w:t>
      </w:r>
      <w:r>
        <w:rPr/>
        <w:t xml:space="preserve">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(ii) Extended grant agreements may not exceed </w:t>
      </w:r>
      <w:r>
        <w:t>((</w:t>
      </w:r>
      <w:r>
        <w:rPr>
          <w:strike/>
        </w:rPr>
        <w:t xml:space="preserve">fifty</w:t>
      </w:r>
      <w:r>
        <w:t>))</w:t>
      </w:r>
      <w:r>
        <w:rPr/>
        <w:t xml:space="preserve"> </w:t>
      </w:r>
      <w:r>
        <w:rPr>
          <w:u w:val="single"/>
        </w:rPr>
        <w:t xml:space="preserve">50</w:t>
      </w:r>
      <w:r>
        <w:rPr/>
        <w:t xml:space="preserve"> percent of the total eligible remedial action costs at the facility; and</w:t>
      </w:r>
    </w:p>
    <w:p>
      <w:pPr>
        <w:spacing w:before="0" w:after="0" w:line="408" w:lineRule="exact"/>
        <w:ind w:left="0" w:right="0" w:firstLine="576"/>
        <w:jc w:val="left"/>
      </w:pPr>
      <w:r>
        <w:rPr/>
        <w:t xml:space="preserve">(iii)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(b)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(c)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(d)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(e)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(f)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(i)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(ii)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(iii) Funding would create an opportunity for acquisition and redevelopment of brownfield property under RCW 70A.305.040(5) that would not otherwise occur; and</w:t>
      </w:r>
    </w:p>
    <w:p>
      <w:pPr>
        <w:spacing w:before="0" w:after="0" w:line="408" w:lineRule="exact"/>
        <w:ind w:left="0" w:right="0" w:firstLine="576"/>
        <w:jc w:val="left"/>
      </w:pPr>
      <w:r>
        <w:rPr/>
        <w:t xml:space="preserve">(g) When pending grant applications under subsection (4)(d) and (e) of this section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
      <w:pPr>
        <w:jc w:val="center"/>
      </w:pPr>
      <w:r>
        <w:rPr>
          <w:b/>
        </w:rPr>
        <w:t>--- END ---</w:t>
      </w:r>
    </w:p>
    <w:sectPr>
      <w:pgNumType w:start="1"/>
      <w:footerReference xmlns:r="http://schemas.openxmlformats.org/officeDocument/2006/relationships" r:id="R8e0a501fa6944f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4dbbbdaa0e4dfd" /><Relationship Type="http://schemas.openxmlformats.org/officeDocument/2006/relationships/footer" Target="/word/footer1.xml" Id="R8e0a501fa6944f7f" /></Relationships>
</file>