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f8318f08646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1051</w:t>
      </w:r>
    </w:p>
    <w:p>
      <w:pPr>
        <w:jc w:val="center"/>
        <w:spacing w:before="480" w:after="0" w:line="240"/>
      </w:pPr>
      <w:r>
        <w:t xml:space="preserve">Chapter </w:t>
      </w:r>
      <w:r>
        <w:rPr/>
        <w:t xml:space="preserve">12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RESEARCH UNIVERSITIES—BOARD OF REGENTS—FACULTY MEMBER</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73</w:t>
            </w:r>
            <w:r>
              <w:t xml:space="preserve">  Nays </w:t>
              <w:t xml:space="preserve">25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Pollet, Leavitt, Shewmake, Kloba, Ryu, Chopp, Fitzgibbon, Ortiz-Self, Goodman, Valdez, Lovick, Frame, Santos, Macri, Stokesbary, and Bergquist</w:t>
      </w:r>
    </w:p>
    <w:p/>
    <w:p>
      <w:r>
        <w:rPr>
          <w:t xml:space="preserve">Prefiled 12/23/20.</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11</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11</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26475e10154b47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dbc5ac96c4c93" /><Relationship Type="http://schemas.openxmlformats.org/officeDocument/2006/relationships/footer" Target="/word/footer1.xml" Id="R26475e10154b47e1" /></Relationships>
</file>