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61c18587944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1219</w:t>
      </w:r>
    </w:p>
    <w:p>
      <w:pPr>
        <w:jc w:val="center"/>
        <w:spacing w:before="480" w:after="0" w:line="240"/>
      </w:pPr>
      <w:r>
        <w:t xml:space="preserve">Chapter </w:t>
      </w:r>
      <w:r>
        <w:rPr/>
        <w:t xml:space="preserve">210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DEPENDENCY PROCEEDINGS—APPOINTMENT OF YOUTH COUNSEL</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40</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Frame, J. Johnson, Ramos, Bateman, Peterson, Fitzgibbon, Davis, Ryu, Fey, Senn, Lovick, Chase, Orwall, Taylor, Santos, Thai, Ortiz-Self, Ormsby, Simmons, Slatter, Berg, Chopp, Bergquist, Callan, Valdez, Macri, Goodman, Tharinger, Harris-Talley, Ybarra,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amending RCW 13.34.090, 13.34.092, 13.34.100, 2.53.045, and 13.34.267; adding new sections to chapter 2.53 RCW; adding new sections to chapter 13.34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Counsel shall be provided at public expense subject to the phase-in schedule as provided in section 6 of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of this act.</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 and</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6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6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of the administrative office of the courts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of the administrative office of the courts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convene a children's representation work group composed of relevant stakeholders, including an independent expert in attorneys' ethical duties, to review and update, where appropriate, the standards of practice, caseload limits, and training guidelines, referenced in RCW 2.53.045 and section 6 of this act. The updated standards shall be developed by March 31, 2022.</w:t>
      </w:r>
    </w:p>
    <w:p>
      <w:pPr>
        <w:spacing w:before="0" w:after="0" w:line="408" w:lineRule="exact"/>
        <w:ind w:left="0" w:right="0" w:firstLine="576"/>
        <w:jc w:val="left"/>
      </w:pPr>
      <w:r>
        <w:rPr/>
        <w:t xml:space="preserve">(3) In addition, the work group is requested to review, in consultation with relevant stakeholders, the available research and best practices regarding representation of the legal interests of children under the age of eight, and submit to the legislature recommendations regarding the appropriate model of representation, including timing of appointment, training and oversight needs, and other considerations. The recommendations shall be reported to the relevant committees of the legislature by March 31, 2022.</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2018 c 34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w:t>
      </w:r>
      <w:r>
        <w:rPr>
          <w:u w:val="single"/>
        </w:rPr>
        <w:t xml:space="preserve">(a)</w:t>
      </w:r>
      <w:r>
        <w:rPr/>
        <w:t xml:space="preserve"> The court shall appoint counsel to represent a youth, as defined in RCW 13.34.030(2)(b), in dependency proceedings under this section. </w:t>
      </w:r>
      <w:r>
        <w:rPr>
          <w:u w:val="single"/>
        </w:rPr>
        <w:t xml:space="preserve">Subject to amounts appropriated, the state shall pay the costs of legal services provided by an attorney appointed pursuant to this subsection based on the phase-in schedule outlined in section 6 of this act, provided that the legal services are provided in accordance with the rules of professional conduct, the standards of practice, caseload limits, and training guidelines adopted by the children's representation work group established in section 9 of this act.</w:t>
      </w:r>
    </w:p>
    <w:p>
      <w:pPr>
        <w:spacing w:before="0" w:after="0" w:line="408" w:lineRule="exact"/>
        <w:ind w:left="0" w:right="0" w:firstLine="576"/>
        <w:jc w:val="left"/>
      </w:pPr>
      <w:r>
        <w:rPr>
          <w:u w:val="single"/>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134685c44bfb43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a5248cd504986" /><Relationship Type="http://schemas.openxmlformats.org/officeDocument/2006/relationships/footer" Target="/word/footer1.xml" Id="R134685c44bfb43bb" /></Relationships>
</file>