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676887785145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1476</w:t>
      </w:r>
    </w:p>
    <w:p>
      <w:pPr>
        <w:jc w:val="center"/>
        <w:spacing w:before="480" w:after="0" w:line="240"/>
      </w:pPr>
      <w:r>
        <w:t xml:space="preserve">Chapter </w:t>
      </w:r>
      <w:r>
        <w:rPr/>
        <w:t xml:space="preserve">221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SCHOOL ENRICHMENT LEVIES—COVID-19 ENROLLMENT DECLINES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Dolan, Sullivan, Ortiz-Self, Callan, Santos, Ryu, Shewmake, J. Johnson, Valdez, Eslick, Rule, Lekanoff, Stonier, Ramel, Tharinger, Peterson,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stabilization funding to address enrollment declines due to the COVID-19 pandemic; amending RCW 84.52.0531;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state funding formulas are largely driven by enrollment and the pandemic has resulted in unforeseen, temporary enrollment declines in many districts. Funding declines due to temporary, unforeseen changes in enrollment can affect a district's ability to maintain the staffing and resources needed to deliver education services. With this act and in the operating budget, the legislature intends to provide stabilizing funding to districts that have seen temporary enrollment declines due to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w:t>
      </w:r>
      <w:r>
        <w:rPr>
          <w:u w:val="single"/>
        </w:rPr>
        <w:t xml:space="preserve">"Open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u w:val="single"/>
        </w:rPr>
        <w:t xml:space="preserve">(d)</w:t>
      </w:r>
      <w:r>
        <w:rPr/>
        <w:t xml:space="preserve"> "Prior school year" means the most recent school year completed prior to the year in which the levies are to be collected</w:t>
      </w:r>
      <w:r>
        <w:rPr>
          <w:u w:val="single"/>
        </w:rPr>
        <w:t xml:space="preserve">, except that in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r>
        <w:rPr/>
        <w:t xml:space="preserve">.</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3151dfa875544e0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1cdec75cc04616" /><Relationship Type="http://schemas.openxmlformats.org/officeDocument/2006/relationships/footer" Target="/word/footer1.xml" Id="R3151dfa875544e02" /></Relationships>
</file>