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9b8d2de2e4a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1530</w:t>
      </w:r>
    </w:p>
    <w:p>
      <w:pPr>
        <w:jc w:val="center"/>
        <w:spacing w:before="480" w:after="0" w:line="240"/>
      </w:pPr>
      <w:r>
        <w:t xml:space="preserve">Chapter </w:t>
      </w:r>
      <w:r>
        <w:rPr/>
        <w:t xml:space="preserve">117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WASHINGTON WINE SPECIAL LICENSE PLATES</w:t>
      </w:r>
    </w:p>
    <w:p>
      <w:pPr>
        <w:spacing w:before="720" w:after="240" w:line="240" w:lineRule="exact"/>
        <w:ind w:left="0" w:right="0" w:firstLine="0"/>
        <w:jc w:val="center"/>
      </w:pPr>
      <w:r>
        <w:t xml:space="preserve">EFFECTIVE DATE: </w:t>
      </w:r>
      <w:r>
        <w:rPr/>
        <w:t xml:space="preserve">November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84</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Chambers, Springer, Klicker, Jacobsen, Sutherland, and Eslick)</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Passed by the Senate March 9,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67a8c2e2fb946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85ee628c94d11" /><Relationship Type="http://schemas.openxmlformats.org/officeDocument/2006/relationships/footer" Target="/word/footer1.xml" Id="R467a8c2e2fb946fe" /></Relationships>
</file>