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f601ab1b0443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1115</w:t>
        </w:r>
      </w:r>
      <w:r>
        <w:rPr>
          <w:b/>
        </w:rPr>
        <w:t xml:space="preserve"> </w:t>
        <w:t xml:space="preserve">AMH</w:t>
      </w:r>
      <w:r>
        <w:t xml:space="preserve"> </w:t>
      </w:r>
      <w:r>
        <w:rPr>
          <w:b/>
        </w:rPr>
        <w:t xml:space="preserve">315</w:t>
      </w:r>
      <w:r>
        <w:rPr>
          <w:b/>
        </w:rPr>
        <w:t xml:space="preserve"> </w:t>
        <w:r>
          <w:rPr/>
          <w:t xml:space="preserve">TAYL</w:t>
        </w:r>
      </w:r>
      <w:r>
        <w:rPr>
          <w:b/>
        </w:rPr>
        <w:t xml:space="preserve"> </w:t>
        <w:r>
          <w:rPr/>
          <w:t xml:space="preserve">H2566.1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1115</w:t>
      </w:r>
      <w:r>
        <w:t xml:space="preserve"> -</w:t>
      </w:r>
      <w:r>
        <w:t xml:space="preserve"> </w:t>
        <w:t xml:space="preserve">H AMD TO H AMD (H-2557.2/15)</w:t>
      </w:r>
    </w:p>
    <w:p>
      <w:pPr>
        <w:ind w:left="0" w:right="0" w:firstLine="360"/>
        <w:jc w:val="both"/>
      </w:pPr>
      <w:r>
        <w:rPr/>
        <w:t xml:space="preserve">By Representative Taylor</w:t>
      </w:r>
    </w:p>
    <w:p>
      <w:pPr>
        <w:jc w:val="right"/>
      </w:pPr>
      <w:r>
        <w:rPr>
          <w:b/>
        </w:rPr>
        <w:t xml:space="preserve">WITHDRAWN 4/2/2015</w:t>
      </w:r>
    </w:p>
    <w:p>
      <w:pPr>
        <w:ind w:left="0" w:right="0" w:firstLine="360"/>
        <w:jc w:val="both"/>
      </w:pPr>
      <w:r>
        <w:rPr/>
        <w:t xml:space="preserve">On page 132, after line 24 of the amendment, insert the following:</w:t>
      </w:r>
    </w:p>
    <w:p>
      <w:pPr>
        <w:ind w:left="0" w:right="0" w:firstLine="360"/>
        <w:jc w:val="both"/>
      </w:pPr>
      <w:r>
        <w:rPr/>
        <w:t xml:space="preserve">"The appropriation in this section is subject to the following conditions and limitations: The department of natural resources shall coordinate with the county within which the land acquisition is occurring prior to any land acquisition, pursuant to RCW 36.70A.103."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Requires the Department of Natural Resources when acquiring replacement trust lands to coordinate with counties pursuant to the Growth Management Act.</w:t>
      </w:r>
    </w:p>
    <w:p>
      <w:pPr>
        <w:ind w:left="360" w:right="0" w:firstLine="360"/>
        <w:jc w:val="both"/>
      </w:pPr>
      <w:r>
        <w:rPr>
          <w:u w:val="single"/>
        </w:rPr>
        <w:t xml:space="preserve">FISCAL IMPACT:</w:t>
      </w:r>
      <w:r>
        <w:rPr/>
        <w:t xml:space="preserve"> No net change to appropriated levels.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6263be55b400d" /></Relationships>
</file>