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0fb28fe5d435c"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CHAB</w:t>
        </w:r>
      </w:r>
      <w:r>
        <w:rPr>
          <w:b/>
        </w:rPr>
        <w:t xml:space="preserve"> </w:t>
        <w:r>
          <w:rPr/>
          <w:t xml:space="preserve">H3115.1</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819</w:t>
      </w:r>
    </w:p>
    <w:p>
      <w:pPr>
        <w:spacing w:before="0" w:after="0" w:line="408" w:lineRule="exact"/>
        <w:ind w:left="0" w:right="0" w:firstLine="576"/>
        <w:jc w:val="left"/>
      </w:pPr>
      <w:r>
        <w:rPr/>
        <w:t xml:space="preserve">By Representative Chandler</w:t>
      </w:r>
    </w:p>
    <w:p>
      <w:pPr>
        <w:jc w:val="right"/>
      </w:pPr>
      <w:r>
        <w:rPr>
          <w:b/>
        </w:rPr>
        <w:t xml:space="preserve">NOT CONSIDERED 12/23/2019</w:t>
      </w:r>
    </w:p>
    <w:p>
      <w:pPr>
        <w:spacing w:before="0" w:after="0" w:line="408" w:lineRule="exact"/>
        <w:ind w:left="0" w:right="0" w:firstLine="576"/>
        <w:jc w:val="left"/>
      </w:pPr>
      <w:r>
        <w:rPr/>
        <w:t xml:space="preserve">On page 33, after line 18, insert the following:</w:t>
      </w:r>
    </w:p>
    <w:p>
      <w:pPr>
        <w:spacing w:before="240" w:after="0" w:line="408" w:lineRule="exact"/>
        <w:ind w:left="0" w:right="0" w:firstLine="576"/>
        <w:jc w:val="center"/>
      </w:pPr>
      <w:r>
        <w:rPr>
          <w:b/>
        </w:rPr>
        <w:t xml:space="preserve">"</w:t>
      </w:r>
      <w:r>
        <w:rPr>
          <w:b/>
        </w:rPr>
        <w:t xml:space="preserve">Part VII</w:t>
      </w:r>
    </w:p>
    <w:p>
      <w:pPr>
        <w:spacing w:before="0" w:after="0" w:line="408" w:lineRule="exact"/>
        <w:ind w:left="0" w:right="0" w:firstLine="576"/>
        <w:jc w:val="center"/>
      </w:pPr>
      <w:r>
        <w:rPr>
          <w:b/>
        </w:rPr>
        <w:t xml:space="preserve">Clarifying the Applicability of Business and Occupation Tax to Amounts Received as Credits from the Bonneville Power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January 1, 2029,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or weatherization. Utilities must give priority to uses of funds that permanently lower energy costs for low-income ratepayers. The funds generated for low-income ratepayer assistance under this subsection must be additive to and not supplant any existing funds used by the utility for low-income ratepayer assistance.</w:t>
      </w:r>
      <w:r>
        <w:rPr/>
        <w:t xml:space="preserve">"</w:t>
      </w:r>
    </w:p>
    <w:p>
      <w:pPr>
        <w:spacing w:before="0" w:after="0" w:line="408" w:lineRule="exact"/>
        <w:ind w:left="0" w:right="0" w:firstLine="576"/>
        <w:jc w:val="left"/>
      </w:pPr>
      <w:r>
        <w:rPr/>
        <w:t xml:space="preserve">Renumber the remaining part and sections consecutively, correct any internal references accordingly, and correct the title.</w:t>
      </w:r>
    </w:p>
    <w:p>
      <w:pPr>
        <w:spacing w:before="0" w:after="0" w:line="408" w:lineRule="exact"/>
        <w:ind w:left="0" w:right="0" w:firstLine="576"/>
        <w:jc w:val="left"/>
      </w:pPr>
      <w:r>
        <w:rPr/>
        <w:t xml:space="preserve">On page 33, line 24, after "IV," strike "and V" and insert "V, and VII"</w:t>
      </w:r>
    </w:p>
    <w:p>
      <w:pPr>
        <w:spacing w:before="0" w:after="0" w:line="408" w:lineRule="exact"/>
        <w:ind w:left="0" w:right="0" w:firstLine="576"/>
        <w:jc w:val="left"/>
      </w:pPr>
      <w:r>
        <w:rPr/>
        <w:t xml:space="preserve">On page 33, line 25, after "IV," strike "and VI" and insert "VI, and VII"</w:t>
      </w:r>
    </w:p>
    <w:p>
      <w:pPr>
        <w:spacing w:before="0" w:after="0" w:line="408" w:lineRule="exact"/>
        <w:ind w:left="0" w:right="0" w:firstLine="576"/>
        <w:jc w:val="left"/>
      </w:pPr>
      <w:r>
        <w:rPr>
          <w:u w:val="single"/>
        </w:rPr>
        <w:t xml:space="preserve">EFFECT:</w:t>
      </w:r>
      <w:r>
        <w:rPr/>
        <w:t xml:space="preserve"> Exempts amounts received in the form of credits against power contracts with the Bonneville power administration or funds provided by the Bonneville power administration for purposes of implementing energy conservation programs or demand-side management programs if certain conditions are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06edd6bafb4764" /></Relationships>
</file>