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6ee9568b843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H3045.1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at the beginning of line 3, strike "and" and insert "((</w:t>
      </w:r>
      <w:r>
        <w:rPr>
          <w:strike/>
        </w:rPr>
        <w:t xml:space="preserve">and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4, after "premiums for" strike all material through "act" on line 5 and insert "</w:t>
      </w:r>
      <w:r>
        <w:rPr>
          <w:u w:val="single"/>
        </w:rPr>
        <w:t xml:space="preserve">health care coverage, including dental coverage, vision coverage, copayments, and for </w:t>
      </w:r>
      <w:r>
        <w:rPr/>
        <w:t xml:space="preserve">medicare under Title XVIII of the social security act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Durable medical equipment, mobility enhancing equipment, prosthetic devices, and medically prescribed oxygen as described in RCW 82.08.0283;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Alterations made to the residence to accommodate or install medical equipment;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Long-term care insurance, as defined in RCW 48.84.020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all health care insurance premiums, durable medical equipment, mobility enhancing equipment, prosthetic devices, medically prescribed oxygen, alterations made to a residence for medical equipment installation, and long-term care insurance to the expenses that may be deducted when calculating combined disposable income.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aac0f0a7b4b8c" /></Relationships>
</file>