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0559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757EC">
            <w:t>5290-S2.E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757E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757EC">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757EC">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757EC">
            <w:t>433</w:t>
          </w:r>
        </w:sdtContent>
      </w:sdt>
    </w:p>
    <w:p w:rsidR="00DF5D0E" w:rsidP="00B73E0A" w:rsidRDefault="00AA1230">
      <w:pPr>
        <w:pStyle w:val="OfferedBy"/>
        <w:spacing w:after="120"/>
      </w:pPr>
      <w:r>
        <w:tab/>
      </w:r>
      <w:r>
        <w:tab/>
      </w:r>
      <w:r>
        <w:tab/>
      </w:r>
    </w:p>
    <w:p w:rsidR="00DF5D0E" w:rsidRDefault="0070559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757EC">
            <w:rPr>
              <w:b/>
              <w:u w:val="single"/>
            </w:rPr>
            <w:t>E2SSB 5290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757EC">
            <w:t>H AMD TO H AMD (H-3195.2/19)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924</w:t>
          </w:r>
        </w:sdtContent>
      </w:sdt>
    </w:p>
    <w:p w:rsidR="00DF5D0E" w:rsidP="00605C39" w:rsidRDefault="0070559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757EC">
            <w:rPr>
              <w:sz w:val="22"/>
            </w:rPr>
            <w:t>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757EC">
          <w:pPr>
            <w:spacing w:after="400" w:line="408" w:lineRule="exact"/>
            <w:jc w:val="right"/>
            <w:rPr>
              <w:b/>
              <w:bCs/>
            </w:rPr>
          </w:pPr>
          <w:r>
            <w:rPr>
              <w:b/>
              <w:bCs/>
            </w:rPr>
            <w:t xml:space="preserve">NOT ADOPTED 04/27/2019</w:t>
          </w:r>
        </w:p>
      </w:sdtContent>
    </w:sdt>
    <w:p w:rsidR="0020666A" w:rsidP="0020666A" w:rsidRDefault="00DE256E">
      <w:pPr>
        <w:pStyle w:val="RCWSLText"/>
      </w:pPr>
      <w:bookmarkStart w:name="StartOfAmendmentBody" w:id="1"/>
      <w:bookmarkEnd w:id="1"/>
      <w:permStart w:edGrp="everyone" w:id="342692134"/>
      <w:r>
        <w:tab/>
      </w:r>
      <w:r w:rsidR="0020666A">
        <w:t>On page 2, at the beginning of line 9</w:t>
      </w:r>
      <w:r w:rsidR="00DD4FE5">
        <w:t xml:space="preserve"> of the striking amendment</w:t>
      </w:r>
      <w:r w:rsidR="0020666A">
        <w:t>, strike "(1)"</w:t>
      </w:r>
    </w:p>
    <w:p w:rsidR="0020666A" w:rsidP="0020666A" w:rsidRDefault="0020666A">
      <w:pPr>
        <w:pStyle w:val="RCWSLText"/>
      </w:pPr>
    </w:p>
    <w:p w:rsidRPr="0020666A" w:rsidR="000757EC" w:rsidP="0020666A" w:rsidRDefault="0020666A">
      <w:pPr>
        <w:pStyle w:val="RCWSLText"/>
        <w:rPr>
          <w:spacing w:val="0"/>
        </w:rPr>
      </w:pPr>
      <w:r>
        <w:tab/>
      </w:r>
      <w:r w:rsidRPr="0020666A" w:rsidR="000757EC">
        <w:rPr>
          <w:spacing w:val="0"/>
        </w:rPr>
        <w:t xml:space="preserve">On page </w:t>
      </w:r>
      <w:r w:rsidRPr="0020666A" w:rsidR="00E456A8">
        <w:rPr>
          <w:spacing w:val="0"/>
        </w:rPr>
        <w:t xml:space="preserve">2, </w:t>
      </w:r>
      <w:r w:rsidRPr="0020666A" w:rsidR="00007AAB">
        <w:rPr>
          <w:spacing w:val="0"/>
        </w:rPr>
        <w:t>beginning on</w:t>
      </w:r>
      <w:r w:rsidRPr="0020666A" w:rsidR="00E456A8">
        <w:rPr>
          <w:spacing w:val="0"/>
        </w:rPr>
        <w:t xml:space="preserve"> line 28 of the striking amendment, strike all of subsection (2)</w:t>
      </w:r>
    </w:p>
    <w:p w:rsidRPr="0020666A" w:rsidR="00E456A8" w:rsidP="0020666A" w:rsidRDefault="00E456A8">
      <w:pPr>
        <w:pStyle w:val="RCWSLText"/>
        <w:rPr>
          <w:spacing w:val="0"/>
        </w:rPr>
      </w:pPr>
    </w:p>
    <w:p w:rsidRPr="0020666A" w:rsidR="00E456A8" w:rsidP="0020666A" w:rsidRDefault="00E456A8">
      <w:pPr>
        <w:pStyle w:val="RCWSLText"/>
        <w:rPr>
          <w:spacing w:val="0"/>
        </w:rPr>
      </w:pPr>
      <w:r w:rsidRPr="0020666A">
        <w:rPr>
          <w:spacing w:val="0"/>
        </w:rPr>
        <w:tab/>
        <w:t>On page 9, beginning on line 16 of the striking amendment, after "to" strike all material through "((</w:t>
      </w:r>
      <w:r w:rsidRPr="0020666A">
        <w:rPr>
          <w:strike/>
          <w:spacing w:val="0"/>
        </w:rPr>
        <w:t>iv</w:t>
      </w:r>
      <w:r w:rsidRPr="0020666A">
        <w:rPr>
          <w:spacing w:val="0"/>
        </w:rPr>
        <w:t xml:space="preserve">))" on page 10, </w:t>
      </w:r>
      <w:r w:rsidRPr="0020666A" w:rsidR="00007AAB">
        <w:rPr>
          <w:spacing w:val="0"/>
        </w:rPr>
        <w:t xml:space="preserve">line 9 and insert </w:t>
      </w:r>
      <w:r w:rsidRPr="0020666A" w:rsidR="003902E0">
        <w:rPr>
          <w:spacing w:val="0"/>
        </w:rPr>
        <w:t>"</w:t>
      </w:r>
      <w:r w:rsidRPr="0020666A">
        <w:rPr>
          <w:spacing w:val="0"/>
        </w:rPr>
        <w:t xml:space="preserve">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w:t>
      </w:r>
      <w:r w:rsidRPr="0020666A">
        <w:rPr>
          <w:spacing w:val="0"/>
          <w:u w:val="single"/>
        </w:rPr>
        <w:t>The court may only order detention as a sanction for contempt of court in at-risk youth proceedings if no secure crisis residential center beds are available for the child.</w:t>
      </w:r>
      <w:r w:rsidRPr="0020666A">
        <w:rPr>
          <w:spacing w:val="0"/>
        </w:rPr>
        <w:t xml:space="preserve"> This sanction may be imposed in addition to, or as an alternative to, any other remedial sanction authorized by this chapter. This remedy is specifically determined to be a remedial sanction.</w:t>
      </w:r>
    </w:p>
    <w:p w:rsidRPr="0020666A" w:rsidR="00E456A8" w:rsidP="0020666A" w:rsidRDefault="00E456A8">
      <w:pPr>
        <w:pStyle w:val="RCWSLText"/>
        <w:rPr>
          <w:spacing w:val="0"/>
        </w:rPr>
      </w:pPr>
      <w:r w:rsidRPr="0020666A">
        <w:rPr>
          <w:spacing w:val="0"/>
        </w:rPr>
        <w:t>(ii) Prior to committing any youth to juvenile detention as a sanction for contempt in at-risk youth petition cases only under chapter 13.32A RCW, or for failure to appear at a court hearing in at-risk youth petition cases only under chapter 13.32A RCW, the court must:</w:t>
      </w:r>
    </w:p>
    <w:p w:rsidRPr="0020666A" w:rsidR="00E456A8" w:rsidP="0020666A" w:rsidRDefault="00E456A8">
      <w:pPr>
        <w:pStyle w:val="RCWSLText"/>
        <w:rPr>
          <w:spacing w:val="0"/>
        </w:rPr>
      </w:pPr>
      <w:r w:rsidRPr="0020666A">
        <w:rPr>
          <w:spacing w:val="0"/>
        </w:rPr>
        <w:t>(A) Consider, on the record, the mitigating and aggravating factors used to determine the appropriateness of detention for enforcement of its order;</w:t>
      </w:r>
    </w:p>
    <w:p w:rsidRPr="0020666A" w:rsidR="00E456A8" w:rsidP="0020666A" w:rsidRDefault="00E456A8">
      <w:pPr>
        <w:pStyle w:val="RCWSLText"/>
        <w:rPr>
          <w:spacing w:val="0"/>
        </w:rPr>
      </w:pPr>
      <w:r w:rsidRPr="0020666A">
        <w:rPr>
          <w:spacing w:val="0"/>
        </w:rPr>
        <w:lastRenderedPageBreak/>
        <w:t xml:space="preserve">(B) Enter written findings affirming that it considered all less restrictive options, </w:t>
      </w:r>
      <w:r w:rsidRPr="0020666A" w:rsidR="003902E0">
        <w:rPr>
          <w:spacing w:val="0"/>
          <w:u w:val="single"/>
        </w:rPr>
        <w:t>that no secure crisis residential center beds are available, and</w:t>
      </w:r>
      <w:r w:rsidRPr="0020666A" w:rsidR="003902E0">
        <w:rPr>
          <w:spacing w:val="0"/>
        </w:rPr>
        <w:t xml:space="preserve"> </w:t>
      </w:r>
      <w:r w:rsidRPr="0020666A">
        <w:rPr>
          <w:spacing w:val="0"/>
        </w:rPr>
        <w:t>that detention is the only appropriate alternative, including its rationale and the clear, cogent, and convincing evidence used to enforce the order;</w:t>
      </w:r>
    </w:p>
    <w:p w:rsidRPr="0020666A" w:rsidR="00E456A8" w:rsidP="0020666A" w:rsidRDefault="00E456A8">
      <w:pPr>
        <w:pStyle w:val="RCWSLText"/>
        <w:rPr>
          <w:spacing w:val="0"/>
        </w:rPr>
      </w:pPr>
      <w:r w:rsidRPr="0020666A">
        <w:rPr>
          <w:spacing w:val="0"/>
        </w:rPr>
        <w:t>(C) Afford the same due process considerations that it affords all youth in criminal contempt proceedings; and</w:t>
      </w:r>
    </w:p>
    <w:p w:rsidRPr="0020666A" w:rsidR="00E456A8" w:rsidP="0020666A" w:rsidRDefault="00E456A8">
      <w:pPr>
        <w:pStyle w:val="RCWSLText"/>
        <w:rPr>
          <w:spacing w:val="0"/>
        </w:rPr>
      </w:pPr>
      <w:r w:rsidRPr="0020666A">
        <w:rPr>
          <w:spacing w:val="0"/>
        </w:rPr>
        <w:t>(D) Seek input from all relevant parties, including the youth.</w:t>
      </w:r>
    </w:p>
    <w:p w:rsidRPr="0020666A" w:rsidR="00E456A8" w:rsidP="0020666A" w:rsidRDefault="00E456A8">
      <w:pPr>
        <w:pStyle w:val="RCWSLText"/>
        <w:rPr>
          <w:spacing w:val="0"/>
        </w:rPr>
      </w:pPr>
      <w:r w:rsidRPr="0020666A">
        <w:rPr>
          <w:spacing w:val="0"/>
        </w:rPr>
        <w:t>(iii) Detention periods for youth sanctioned to juvenile detention for contempt in at-risk youth petition cases only under chapter 13.32A RCW, or for failure to appear at a court hearing in at-risk youth petition cases only under chapter 13.32A RCW, shall be:</w:t>
      </w:r>
    </w:p>
    <w:p w:rsidRPr="0020666A" w:rsidR="00E456A8" w:rsidP="0020666A" w:rsidRDefault="00E456A8">
      <w:pPr>
        <w:pStyle w:val="RCWSLText"/>
        <w:rPr>
          <w:spacing w:val="0"/>
        </w:rPr>
      </w:pPr>
      <w:r w:rsidRPr="0020666A">
        <w:rPr>
          <w:spacing w:val="0"/>
        </w:rPr>
        <w:t>(A) No more than seventy-two hours, regardless of the number of violations being considered at the hearing; and</w:t>
      </w:r>
    </w:p>
    <w:p w:rsidRPr="0020666A" w:rsidR="00E456A8" w:rsidP="0020666A" w:rsidRDefault="0020666A">
      <w:pPr>
        <w:pStyle w:val="RCWSLText"/>
        <w:rPr>
          <w:spacing w:val="0"/>
        </w:rPr>
      </w:pPr>
      <w:r w:rsidRPr="0020666A">
        <w:rPr>
          <w:spacing w:val="0"/>
        </w:rPr>
        <w:tab/>
      </w:r>
      <w:r w:rsidRPr="0020666A" w:rsidR="00E456A8">
        <w:rPr>
          <w:spacing w:val="0"/>
        </w:rPr>
        <w:t>(B) Limited to no more than two sanctions, up to seventy-two hours each, in any thirty-day period.</w:t>
      </w:r>
    </w:p>
    <w:p w:rsidRPr="0020666A" w:rsidR="00E456A8" w:rsidP="0020666A" w:rsidRDefault="0020666A">
      <w:pPr>
        <w:pStyle w:val="RCWSLText"/>
        <w:rPr>
          <w:spacing w:val="0"/>
        </w:rPr>
      </w:pPr>
      <w:r w:rsidRPr="0020666A">
        <w:rPr>
          <w:spacing w:val="0"/>
        </w:rPr>
        <w:tab/>
      </w:r>
      <w:r w:rsidRPr="0020666A" w:rsidR="00E456A8">
        <w:rPr>
          <w:spacing w:val="0"/>
        </w:rPr>
        <w:t>(iv)"</w:t>
      </w:r>
    </w:p>
    <w:p w:rsidRPr="0020666A" w:rsidR="00E456A8" w:rsidP="0020666A" w:rsidRDefault="00E456A8">
      <w:pPr>
        <w:pStyle w:val="RCWSLText"/>
        <w:rPr>
          <w:spacing w:val="0"/>
        </w:rPr>
      </w:pPr>
    </w:p>
    <w:p w:rsidRPr="0020666A" w:rsidR="003902E0" w:rsidP="0020666A" w:rsidRDefault="00F363F0">
      <w:pPr>
        <w:pStyle w:val="RCWSLText"/>
        <w:rPr>
          <w:spacing w:val="0"/>
        </w:rPr>
      </w:pPr>
      <w:r w:rsidRPr="0020666A">
        <w:rPr>
          <w:spacing w:val="0"/>
        </w:rPr>
        <w:tab/>
      </w:r>
      <w:r w:rsidRPr="0020666A" w:rsidR="003902E0">
        <w:rPr>
          <w:spacing w:val="0"/>
        </w:rPr>
        <w:t>On page 14, beginning on line 31 of the striking amendment, after "confinement" strike all material through "</w:t>
      </w:r>
      <w:r w:rsidRPr="0020666A" w:rsidR="003902E0">
        <w:rPr>
          <w:spacing w:val="0"/>
          <w:u w:val="single"/>
        </w:rPr>
        <w:t>only</w:t>
      </w:r>
      <w:r w:rsidRPr="0020666A" w:rsidR="003902E0">
        <w:rPr>
          <w:spacing w:val="0"/>
        </w:rPr>
        <w:t>" on page 15, line 12 and insert "for up to seventy-two hours, or both for contempt of court under this section if (A) one of the less restrictive alternatives under (a) of this subsection has been attempted and another violation of the order has occurred, or (B) the court issues a formal finding that none of the less restrictive alternatives is available. The seventy-two hour period excludes Saturdays, Sundays, and holidays and shall commence upon the next nonholiday weekday following the court order and shall run to the end of the last nonholiday weekday within the seventy-two hour period.</w:t>
      </w:r>
    </w:p>
    <w:p w:rsidRPr="0020666A" w:rsidR="003902E0" w:rsidP="0020666A" w:rsidRDefault="0020666A">
      <w:pPr>
        <w:pStyle w:val="RCWSLText"/>
        <w:rPr>
          <w:spacing w:val="0"/>
          <w:u w:val="single"/>
        </w:rPr>
      </w:pPr>
      <w:r w:rsidRPr="0020666A">
        <w:rPr>
          <w:spacing w:val="0"/>
        </w:rPr>
        <w:tab/>
      </w:r>
      <w:r w:rsidRPr="0020666A" w:rsidR="003902E0">
        <w:rPr>
          <w:spacing w:val="0"/>
        </w:rPr>
        <w:t>(ii) A child placed in confinement for contempt under this section shall be placed in confinement only in a secure juvenile detention facility operated by or pursuant to a contract with a county</w:t>
      </w:r>
      <w:r w:rsidRPr="0020666A" w:rsidR="003902E0">
        <w:rPr>
          <w:spacing w:val="0"/>
          <w:u w:val="single"/>
        </w:rPr>
        <w:t>.</w:t>
      </w:r>
    </w:p>
    <w:p w:rsidRPr="0020666A" w:rsidR="003902E0" w:rsidP="0020666A" w:rsidRDefault="003902E0">
      <w:pPr>
        <w:pStyle w:val="RCWSLText"/>
        <w:rPr>
          <w:spacing w:val="0"/>
        </w:rPr>
      </w:pPr>
      <w:r w:rsidRPr="0020666A">
        <w:rPr>
          <w:spacing w:val="0"/>
        </w:rPr>
        <w:tab/>
      </w:r>
      <w:r w:rsidRPr="0020666A">
        <w:rPr>
          <w:spacing w:val="0"/>
          <w:u w:val="single"/>
        </w:rPr>
        <w:t>(iii) The court may only order detention as a sanction for contempt of court in at-risk youth proceedings if no secure crisis residential center beds are available for the child</w:t>
      </w:r>
      <w:r w:rsidRPr="0020666A" w:rsidR="003A6C3B">
        <w:rPr>
          <w:spacing w:val="0"/>
        </w:rPr>
        <w:t>"</w:t>
      </w:r>
    </w:p>
    <w:permEnd w:id="342692134"/>
    <w:p w:rsidR="00ED2EEB" w:rsidP="000757E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247435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757EC" w:rsidRDefault="00D659AC">
                <w:pPr>
                  <w:pStyle w:val="Effect"/>
                  <w:suppressLineNumbers/>
                  <w:shd w:val="clear" w:color="auto" w:fill="auto"/>
                  <w:ind w:left="0" w:firstLine="0"/>
                </w:pPr>
              </w:p>
            </w:tc>
            <w:tc>
              <w:tcPr>
                <w:tcW w:w="9874" w:type="dxa"/>
                <w:shd w:val="clear" w:color="auto" w:fill="FFFFFF" w:themeFill="background1"/>
              </w:tcPr>
              <w:p w:rsidR="003A6C3B" w:rsidP="0020666A" w:rsidRDefault="0096303F">
                <w:pPr>
                  <w:ind w:firstLine="576"/>
                </w:pPr>
                <w:r w:rsidRPr="0096303F">
                  <w:tab/>
                </w:r>
                <w:r w:rsidRPr="0096303F" w:rsidR="001C1B27">
                  <w:rPr>
                    <w:u w:val="single"/>
                  </w:rPr>
                  <w:t>EFFECT:</w:t>
                </w:r>
                <w:r w:rsidRPr="0096303F" w:rsidR="001C1B27">
                  <w:t>   </w:t>
                </w:r>
                <w:r w:rsidR="003A6C3B">
                  <w:t>Makes the following changes to the underlying striking amendment:</w:t>
                </w:r>
              </w:p>
              <w:p w:rsidR="003A6C3B" w:rsidP="0020666A" w:rsidRDefault="003A6C3B">
                <w:pPr>
                  <w:ind w:firstLine="576"/>
                </w:pPr>
                <w:r>
                  <w:t>(1) Maintains (instead of eliminating) the 72 hour maximum detention period that can be imposed as a sanction for contempt of an at-risk youth court proceeding beginning July 1, 2023, but on that date courts may only order detention as a sanction for contempt of court in at-risk youth proceedings if no secure crisis residential center beds are available for the child.</w:t>
                </w:r>
              </w:p>
              <w:p w:rsidRPr="007D1589" w:rsidR="001B4E53" w:rsidP="0020666A" w:rsidRDefault="003A6C3B">
                <w:pPr>
                  <w:ind w:firstLine="576"/>
                </w:pPr>
                <w:r>
                  <w:t>(2) Removes intent language and makes technical corrections consistent with the above change.</w:t>
                </w:r>
              </w:p>
            </w:tc>
          </w:tr>
        </w:sdtContent>
      </w:sdt>
      <w:permEnd w:id="1372474351"/>
    </w:tbl>
    <w:p w:rsidR="00DF5D0E" w:rsidP="000757EC" w:rsidRDefault="00DF5D0E">
      <w:pPr>
        <w:pStyle w:val="BillEnd"/>
        <w:suppressLineNumbers/>
      </w:pPr>
    </w:p>
    <w:p w:rsidR="00DF5D0E" w:rsidP="000757EC" w:rsidRDefault="00DE256E">
      <w:pPr>
        <w:pStyle w:val="BillEnd"/>
        <w:suppressLineNumbers/>
      </w:pPr>
      <w:r>
        <w:rPr>
          <w:b/>
        </w:rPr>
        <w:t>--- END ---</w:t>
      </w:r>
    </w:p>
    <w:p w:rsidR="00DF5D0E" w:rsidP="000757E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EC" w:rsidRDefault="000757EC" w:rsidP="00DF5D0E">
      <w:r>
        <w:separator/>
      </w:r>
    </w:p>
  </w:endnote>
  <w:endnote w:type="continuationSeparator" w:id="0">
    <w:p w:rsidR="000757EC" w:rsidRDefault="000757E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C2" w:rsidRDefault="00C36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559E">
    <w:pPr>
      <w:pStyle w:val="AmendDraftFooter"/>
    </w:pPr>
    <w:r>
      <w:fldChar w:fldCharType="begin"/>
    </w:r>
    <w:r>
      <w:instrText xml:space="preserve"> TITLE   \* MERGEFORMAT </w:instrText>
    </w:r>
    <w:r>
      <w:fldChar w:fldCharType="separate"/>
    </w:r>
    <w:r w:rsidR="004D7263">
      <w:t>5290-S2.E AMH DENT WICK 433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559E">
    <w:pPr>
      <w:pStyle w:val="AmendDraftFooter"/>
    </w:pPr>
    <w:r>
      <w:fldChar w:fldCharType="begin"/>
    </w:r>
    <w:r>
      <w:instrText xml:space="preserve"> TITLE   \* MERGEFORMAT </w:instrText>
    </w:r>
    <w:r>
      <w:fldChar w:fldCharType="separate"/>
    </w:r>
    <w:r w:rsidR="004D7263">
      <w:t>5290-S2.E AMH DENT WICK 433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EC" w:rsidRDefault="000757EC" w:rsidP="00DF5D0E">
      <w:r>
        <w:separator/>
      </w:r>
    </w:p>
  </w:footnote>
  <w:footnote w:type="continuationSeparator" w:id="0">
    <w:p w:rsidR="000757EC" w:rsidRDefault="000757E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C2" w:rsidRDefault="00C36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7AAB"/>
    <w:rsid w:val="00050639"/>
    <w:rsid w:val="00060D21"/>
    <w:rsid w:val="000757EC"/>
    <w:rsid w:val="00093133"/>
    <w:rsid w:val="00096165"/>
    <w:rsid w:val="000C6C82"/>
    <w:rsid w:val="000E603A"/>
    <w:rsid w:val="00102468"/>
    <w:rsid w:val="00106544"/>
    <w:rsid w:val="00146AAF"/>
    <w:rsid w:val="001A775A"/>
    <w:rsid w:val="001B4E53"/>
    <w:rsid w:val="001C1B27"/>
    <w:rsid w:val="001C7F91"/>
    <w:rsid w:val="001E10A9"/>
    <w:rsid w:val="001E6675"/>
    <w:rsid w:val="0020666A"/>
    <w:rsid w:val="00217E8A"/>
    <w:rsid w:val="00265296"/>
    <w:rsid w:val="00281CBD"/>
    <w:rsid w:val="00316CD9"/>
    <w:rsid w:val="003902E0"/>
    <w:rsid w:val="003A6C3B"/>
    <w:rsid w:val="003E2FC6"/>
    <w:rsid w:val="00492DDC"/>
    <w:rsid w:val="004C6615"/>
    <w:rsid w:val="004D7263"/>
    <w:rsid w:val="00523C5A"/>
    <w:rsid w:val="005E69C3"/>
    <w:rsid w:val="00605C39"/>
    <w:rsid w:val="006841E6"/>
    <w:rsid w:val="006F7027"/>
    <w:rsid w:val="007049E4"/>
    <w:rsid w:val="0070559E"/>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66C2"/>
    <w:rsid w:val="00C61A83"/>
    <w:rsid w:val="00C8108C"/>
    <w:rsid w:val="00D40447"/>
    <w:rsid w:val="00D659AC"/>
    <w:rsid w:val="00DA47F3"/>
    <w:rsid w:val="00DC2C13"/>
    <w:rsid w:val="00DD4FE5"/>
    <w:rsid w:val="00DE256E"/>
    <w:rsid w:val="00DF5D0E"/>
    <w:rsid w:val="00E1471A"/>
    <w:rsid w:val="00E267B1"/>
    <w:rsid w:val="00E41CC6"/>
    <w:rsid w:val="00E456A8"/>
    <w:rsid w:val="00E66F5D"/>
    <w:rsid w:val="00E831A5"/>
    <w:rsid w:val="00E850E7"/>
    <w:rsid w:val="00EB0D47"/>
    <w:rsid w:val="00EC4C96"/>
    <w:rsid w:val="00ED2EEB"/>
    <w:rsid w:val="00F229DE"/>
    <w:rsid w:val="00F304D3"/>
    <w:rsid w:val="00F363F0"/>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E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5290-S2.E</BillDocName>
  <AmendType>AMH</AmendType>
  <SponsorAcronym>GRIF</SponsorAcronym>
  <DrafterAcronym>WICK</DrafterAcronym>
  <DraftNumber>433</DraftNumber>
  <ReferenceNumber>E2SSB 5290</ReferenceNumber>
  <Floor>H AMD TO H AMD (H-3195.2/19)</Floor>
  <AmendmentNumber> 924</AmendmentNumber>
  <Sponsors>By Representative Griffey</Sponsors>
  <FloorAction>NOT ADOPTED 04/27/2019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2</Pages>
  <Words>678</Words>
  <Characters>3472</Characters>
  <Application>Microsoft Office Word</Application>
  <DocSecurity>8</DocSecurity>
  <Lines>86</Lines>
  <Paragraphs>26</Paragraphs>
  <ScaleCrop>false</ScaleCrop>
  <HeadingPairs>
    <vt:vector size="2" baseType="variant">
      <vt:variant>
        <vt:lpstr>Title</vt:lpstr>
      </vt:variant>
      <vt:variant>
        <vt:i4>1</vt:i4>
      </vt:variant>
    </vt:vector>
  </HeadingPairs>
  <TitlesOfParts>
    <vt:vector size="1" baseType="lpstr">
      <vt:lpstr>5290-S2.E AMH DENT WICK 433</vt:lpstr>
    </vt:vector>
  </TitlesOfParts>
  <Company>Washington State Legislature</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5290-S2.E AMH GRIF WICK 433</dc:title>
  <dc:creator>Luke Wickham</dc:creator>
  <cp:lastModifiedBy>Wickham, Luke</cp:lastModifiedBy>
  <cp:revision>12</cp:revision>
  <dcterms:created xsi:type="dcterms:W3CDTF">2019-04-28T04:02:00Z</dcterms:created>
  <dcterms:modified xsi:type="dcterms:W3CDTF">2019-04-28T04:59:00Z</dcterms:modified>
</cp:coreProperties>
</file>