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7d6edf60145b2" /></Relationships>
</file>

<file path=word/document.xml><?xml version="1.0" encoding="utf-8"?>
<w:document xmlns:w="http://schemas.openxmlformats.org/wordprocessingml/2006/main">
  <w:body>
    <w:p>
      <w:r>
        <w:rPr>
          <w:b/>
        </w:rPr>
        <w:r>
          <w:rPr/>
          <w:t xml:space="preserve">5318-S.E</w:t>
        </w:r>
      </w:r>
      <w:r>
        <w:rPr>
          <w:b/>
        </w:rPr>
        <w:t xml:space="preserve"> </w:t>
        <w:t xml:space="preserve">AMH</w:t>
      </w:r>
      <w:r>
        <w:rPr>
          <w:b/>
        </w:rPr>
        <w:t xml:space="preserve"> </w:t>
        <w:r>
          <w:rPr/>
          <w:t xml:space="preserve">APP</w:t>
        </w:r>
      </w:r>
      <w:r>
        <w:rPr>
          <w:b/>
        </w:rPr>
        <w:t xml:space="preserve"> </w:t>
        <w:r>
          <w:rPr/>
          <w:t xml:space="preserve">H2875.1</w:t>
        </w:r>
      </w:r>
      <w:r>
        <w:rPr>
          <w:b/>
        </w:rPr>
        <w:t xml:space="preserve"> - NOT FOR FLOOR USE</w:t>
      </w:r>
    </w:p>
    <w:p>
      <w:pPr>
        <w:ind w:left="0" w:right="0" w:firstLine="576"/>
      </w:pPr>
    </w:p>
    <w:p>
      <w:pPr>
        <w:spacing w:before="480" w:after="0" w:line="408" w:lineRule="exact"/>
      </w:pPr>
      <w:r>
        <w:rPr>
          <w:b/>
          <w:u w:val="single"/>
        </w:rPr>
        <w:t xml:space="preserve">ESSB 5318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Intentional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 or</w:t>
      </w:r>
    </w:p>
    <w:p>
      <w:pPr>
        <w:spacing w:before="0" w:after="0" w:line="408" w:lineRule="exact"/>
        <w:ind w:left="0" w:right="0" w:firstLine="576"/>
        <w:jc w:val="left"/>
      </w:pPr>
      <w:r>
        <w:rPr/>
        <w:t xml:space="preserve">(iv) The commission of nonmarijuana-related crimes.</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Valuable formulae or financial or proprietary commercial information records received during a consultative visit or while providing consultative services in accordance with this section are not subject to inspection pursuant to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Intentional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 or</w:t>
      </w:r>
    </w:p>
    <w:p>
      <w:pPr>
        <w:spacing w:before="0" w:after="0" w:line="408" w:lineRule="exact"/>
        <w:ind w:left="0" w:right="0" w:firstLine="576"/>
        <w:jc w:val="left"/>
      </w:pPr>
      <w:r>
        <w:rPr/>
        <w:t xml:space="preserve">(iv) The commission of nonmarijuana-related crimes;</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employee misconduct that led to the violation if the licensee provides documentation that before the date of the violation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Intentional furnishing of marijuana product to minors;</w:t>
      </w:r>
    </w:p>
    <w:p>
      <w:pPr>
        <w:spacing w:before="0" w:after="0" w:line="408" w:lineRule="exact"/>
        <w:ind w:left="0" w:right="0" w:firstLine="576"/>
        <w:jc w:val="left"/>
      </w:pPr>
      <w:r>
        <w:rPr/>
        <w:t xml:space="preserve">(c) Diversion of revenue to criminal enterprises, gangs, cartels, or parties not qualified to hold a marijuana license based on criminal history requirements; or</w:t>
      </w:r>
    </w:p>
    <w:p>
      <w:pPr>
        <w:spacing w:before="0" w:after="0" w:line="408" w:lineRule="exact"/>
        <w:ind w:left="0" w:right="0" w:firstLine="576"/>
        <w:jc w:val="left"/>
      </w:pPr>
      <w:r>
        <w:rPr/>
        <w:t xml:space="preserve">(d) The commission of nonmarijuana-related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w:t>
      </w:r>
      <w:r>
        <w:t>))</w:t>
      </w:r>
      <w:r>
        <w:rPr>
          <w:u w:val="single"/>
        </w:rPr>
        <w:t xml:space="preserve">, any public safety</w:t>
      </w:r>
      <w:r>
        <w:rPr/>
        <w:t xml:space="preserve"> administrative violation history record with the </w:t>
      </w:r>
      <w:r>
        <w:t>((</w:t>
      </w:r>
      <w:r>
        <w:rPr>
          <w:strike/>
        </w:rPr>
        <w:t xml:space="preserve">state liquor and cannabis</w:t>
      </w:r>
      <w:r>
        <w:t>))</w:t>
      </w:r>
      <w:r>
        <w:rPr/>
        <w:t xml:space="preserve"> board</w:t>
      </w:r>
      <w:r>
        <w:rPr>
          <w:u w:val="single"/>
        </w:rPr>
        <w:t xml:space="preserve">,</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officer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u w:val="single"/>
        </w:rPr>
        <w:t xml:space="preserve">(c) Valuable formulae or financial or proprietary commercial information records received during a consultative visit or while providing consultative services to a licensed marijuana business in accordance with section 5 of this act;</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and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use of the terms "responsible party" and "person" to say "licensee" in the context of notices of corrections and civil penalties issued by the Liquor and Cannabis Board (LCB).</w:t>
      </w:r>
    </w:p>
    <w:p>
      <w:pPr>
        <w:spacing w:before="0" w:after="0" w:line="408" w:lineRule="exact"/>
        <w:ind w:left="0" w:right="0" w:firstLine="576"/>
        <w:jc w:val="left"/>
      </w:pPr>
      <w:r>
        <w:rPr/>
        <w:t xml:space="preserve">Codifies section 3 of the bill, relating to the LCB's issuance of civil penalties, in chapter 69.50 RCW instead of in chapter 43.05 RCW.</w:t>
      </w:r>
    </w:p>
    <w:p>
      <w:pPr>
        <w:spacing w:before="0" w:after="0" w:line="408" w:lineRule="exact"/>
        <w:ind w:left="0" w:right="0" w:firstLine="576"/>
        <w:jc w:val="left"/>
      </w:pPr>
      <w:r>
        <w:rPr/>
        <w:t xml:space="preserve">Amends one of the enumerated circumstances in which the LCB may issue a civil penalty to a marijuana licensee without first issuing a notice of correction, may cancel a license for a single violation, or may consider certain prior violations when making licensing decisions, so the LCB may do so when the LCB can prove by a preponderance of the evidence the violation is the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Eliminates from the enumerated circumstances in which the LCB may issue a civil penalty without first issuing a notice of correction, may cancel a license for a single violation, or may consider certain prior violations when making licensing decisions, the act of using firearms in a facility licensed by the LCB that poses a direct and significant threat to public safety.</w:t>
      </w:r>
    </w:p>
    <w:p>
      <w:pPr>
        <w:spacing w:before="0" w:after="0" w:line="408" w:lineRule="exact"/>
        <w:ind w:left="0" w:right="0" w:firstLine="576"/>
        <w:jc w:val="left"/>
      </w:pPr>
      <w:r>
        <w:rPr/>
        <w:t xml:space="preserve">Adds the word "intentional" to the provisions related to a violation involving the furnishing of marijuana product to minors, so furnishing of marijuana product to minors must be intentional for the LCB to issue a marijuana licensee a civil penalty without first issuing a notice of correction, cancel a license for a single violation, or consider violations that occurred more than two years prior as grounds for license denial, suspension, revocation, cancellation, or nonrenewal.</w:t>
      </w:r>
    </w:p>
    <w:p>
      <w:pPr>
        <w:spacing w:before="0" w:after="0" w:line="408" w:lineRule="exact"/>
        <w:ind w:left="0" w:right="0" w:firstLine="576"/>
        <w:jc w:val="left"/>
      </w:pPr>
      <w:r>
        <w:rPr/>
        <w:t xml:space="preserve">Amends the new limitation that applies to escalating penalties for violations so an escalation of penalties applies only to multiple violations that are the same or similar in nature.</w:t>
      </w:r>
    </w:p>
    <w:p>
      <w:pPr>
        <w:spacing w:before="0" w:after="0" w:line="408" w:lineRule="exact"/>
        <w:ind w:left="0" w:right="0" w:firstLine="576"/>
        <w:jc w:val="left"/>
      </w:pPr>
      <w:r>
        <w:rPr/>
        <w:t xml:space="preserve">Replaces the new clear, cogent, and convincing evidence standard with a preponderance of the evidence standard in the context of the LCB proving violations that are punishable with license cancellation, denial, suspension, revocation, or nonrenewal.</w:t>
      </w:r>
    </w:p>
    <w:p>
      <w:pPr>
        <w:spacing w:before="0" w:after="0" w:line="408" w:lineRule="exact"/>
        <w:ind w:left="0" w:right="0" w:firstLine="576"/>
        <w:jc w:val="left"/>
      </w:pPr>
      <w:r>
        <w:rPr/>
        <w:t xml:space="preserve">Provides that the LCB may not consider any violation that occurred more than two years prior (rather than occurred before April 30, 2017), as grounds for denial, suspension, revocation, cancellation, or nonrenewal, unless one of the enumerated circumstances applies.</w:t>
      </w:r>
    </w:p>
    <w:p>
      <w:pPr>
        <w:spacing w:before="0" w:after="0" w:line="408" w:lineRule="exact"/>
        <w:ind w:left="0" w:right="0" w:firstLine="576"/>
        <w:jc w:val="left"/>
      </w:pPr>
      <w:r>
        <w:rPr/>
        <w:t xml:space="preserve">Authorizes the LCB to consider a public safety administrative violation history record with the LCB in the context of reviewing a marijuana license application and for considering the denial, suspension, revocation, cancellation, or nonrenewal of a marijuana license (so the LCB is not limited to only considering arrests, convictions, and a criminal history record check).</w:t>
      </w:r>
    </w:p>
    <w:p>
      <w:pPr>
        <w:spacing w:before="0" w:after="0" w:line="408" w:lineRule="exact"/>
        <w:ind w:left="0" w:right="0" w:firstLine="576"/>
        <w:jc w:val="left"/>
      </w:pPr>
      <w:r>
        <w:rPr/>
        <w:t xml:space="preserve">Changes the use of the term "hearing examiner" to "hearing officer" in the context of the settlement conferences that may be held between a hearing officer or LCB designee and the licensee that received a notice of an alleged violation. Eliminates, from the new limitations on the LCB's use of settlement agreements, the provision that the LCB may only disapprove, modify, change, or add to the terms of a settlement agreement if the LCB finds an agreement to be clearly erroneous. Retains the requirement that the LCB must give the terms of a settlement agreement substantial weight.</w:t>
      </w:r>
    </w:p>
    <w:p>
      <w:pPr>
        <w:spacing w:before="0" w:after="0" w:line="408" w:lineRule="exact"/>
        <w:ind w:left="0" w:right="0" w:firstLine="576"/>
        <w:jc w:val="left"/>
      </w:pPr>
      <w:r>
        <w:rPr/>
        <w:t xml:space="preserve">Eliminates the creation of the Legislative Work Group on Cannabis Enforcement and Training Processes and Procedures.</w:t>
      </w:r>
    </w:p>
    <w:p>
      <w:pPr>
        <w:spacing w:before="0" w:after="0" w:line="408" w:lineRule="exact"/>
        <w:ind w:left="0" w:right="0" w:firstLine="576"/>
        <w:jc w:val="left"/>
      </w:pPr>
      <w:r>
        <w:rPr/>
        <w:t xml:space="preserve">Eliminates the provision that information obtained by the LCB as a result of licensee-requested consultation and training services is confidential and not subject to public inspection under the Public Records Act (chapter 42.56 RCW). Adds a provision that valuable formulae or financial or proprietary commercial information records received during a consultative visit, or while providing consultative services, are not subject to inspection pursuant to the Public Records Act. Adds a parallel reference to this new exemption in the Public Records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876f9679346e5" /></Relationships>
</file>