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be14126e404bb4" /></Relationships>
</file>

<file path=word/document.xml><?xml version="1.0" encoding="utf-8"?>
<w:document xmlns:w="http://schemas.openxmlformats.org/wordprocessingml/2006/main">
  <w:body>
    <w:p>
      <w:r>
        <w:rPr>
          <w:b/>
        </w:rPr>
        <w:r>
          <w:rPr/>
          <w:t xml:space="preserve">5526-S.E</w:t>
        </w:r>
      </w:r>
      <w:r>
        <w:rPr>
          <w:b/>
        </w:rPr>
        <w:t xml:space="preserve"> </w:t>
        <w:t xml:space="preserve">AMH</w:t>
      </w:r>
      <w:r>
        <w:rPr>
          <w:b/>
        </w:rPr>
        <w:t xml:space="preserve"> </w:t>
        <w:r>
          <w:rPr/>
          <w:t xml:space="preserve">HCW</w:t>
        </w:r>
      </w:r>
      <w:r>
        <w:rPr>
          <w:b/>
        </w:rPr>
        <w:t xml:space="preserve"> </w:t>
        <w:r>
          <w:rPr/>
          <w:t xml:space="preserve">H2665.2</w:t>
        </w:r>
      </w:r>
      <w:r>
        <w:rPr>
          <w:b/>
        </w:rPr>
        <w:t xml:space="preserve"> - NOT FOR FLOOR USE</w:t>
      </w:r>
    </w:p>
    <w:p>
      <w:pPr>
        <w:ind w:left="0" w:right="0" w:firstLine="576"/>
      </w:pPr>
      <w:r>
        <w:rPr/>
        <w:t xml:space="preserve"> </w:t>
      </w:r>
    </w:p>
    <w:p>
      <w:pPr>
        <w:spacing w:before="480" w:after="0" w:line="408" w:lineRule="exact"/>
      </w:pPr>
      <w:r>
        <w:rPr>
          <w:b/>
          <w:u w:val="single"/>
        </w:rPr>
        <w:t xml:space="preserve">ESSB 5526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CONSIDERED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w:t>
      </w:r>
    </w:p>
    <w:p>
      <w:pPr>
        <w:spacing w:before="0" w:after="0" w:line="408" w:lineRule="exact"/>
        <w:ind w:left="0" w:right="0" w:firstLine="576"/>
        <w:jc w:val="left"/>
      </w:pPr>
      <w:r>
        <w:rPr/>
        <w:t xml:space="preserve">(2)(a) Beginning January 1, 2021, any health carrier offering a qualified health plan on the exchange must offer one silver standardized health plan and one gold standardized health plan on the exchange. If a health carrier offers a bronze health plan on the exchange, it must offer one bronze standardized health plan on the exchange.</w:t>
      </w:r>
    </w:p>
    <w:p>
      <w:pPr>
        <w:spacing w:before="0" w:after="0" w:line="408" w:lineRule="exact"/>
        <w:ind w:left="0" w:right="0" w:firstLine="576"/>
        <w:jc w:val="left"/>
      </w:pPr>
      <w:r>
        <w:rPr/>
        <w:t xml:space="preserve">(b)(i) A health plan offering a standardized health plan under this section may also offer nonstandardized health plans on the exchange.</w:t>
      </w:r>
    </w:p>
    <w:p>
      <w:pPr>
        <w:spacing w:before="0" w:after="0" w:line="408" w:lineRule="exact"/>
        <w:ind w:left="0" w:right="0" w:firstLine="576"/>
        <w:jc w:val="left"/>
      </w:pPr>
      <w:r>
        <w:rPr/>
        <w:t xml:space="preserve">(ii) The exchange and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data submitted by health carriers to the health benefit exchange for purposes of establishing standardized benefit plans under section 1 of this act are confidential and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silver and gold qualified health plans on the Washington health benefit exchange for plan years beginning in 2021.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section 1 of this act;</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 managed care model that includes care coordination or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w:t>
      </w:r>
    </w:p>
    <w:p>
      <w:pPr>
        <w:spacing w:before="0" w:after="0" w:line="408" w:lineRule="exact"/>
        <w:ind w:left="0" w:right="0" w:firstLine="576"/>
        <w:jc w:val="left"/>
      </w:pPr>
      <w:r>
        <w:rPr/>
        <w:t xml:space="preserve">(ii) Meet national accreditation standards; and</w:t>
      </w:r>
    </w:p>
    <w:p>
      <w:pPr>
        <w:spacing w:before="0" w:after="0" w:line="408" w:lineRule="exact"/>
        <w:ind w:left="0" w:right="0" w:firstLine="576"/>
        <w:jc w:val="left"/>
      </w:pPr>
      <w:r>
        <w:rPr/>
        <w:t xml:space="preserve">(iii) Align with published criteria published by the authority;</w:t>
      </w:r>
    </w:p>
    <w:p>
      <w:pPr>
        <w:spacing w:before="0" w:after="0" w:line="408" w:lineRule="exact"/>
        <w:ind w:left="0" w:right="0" w:firstLine="576"/>
        <w:jc w:val="left"/>
      </w:pPr>
      <w:r>
        <w:rPr/>
        <w:t xml:space="preserve">(g) The qualified health plan's medical loss ratio must meet or exceed ninety percent, as determined by the insurance commissioner in the rate review process; and</w:t>
      </w:r>
    </w:p>
    <w:p>
      <w:pPr>
        <w:spacing w:before="0" w:after="0" w:line="408" w:lineRule="exact"/>
        <w:ind w:left="0" w:right="0" w:firstLine="576"/>
        <w:jc w:val="left"/>
      </w:pPr>
      <w:r>
        <w:rPr/>
        <w:t xml:space="preserve">(h) The qualified health plan's fee-for-service rates for providers and facilities may not exceed the medicare rates for the same or similar covered services in the same or similar geographic area. For reimbursement methodologies other than fee-for-service, the aggregate amount the qualified health plan pays to providers and facilities may not exceed the equivalent of the aggregate amount the qualified health plan would have reimbursed providers and facilities using fee-for-service medicare rates.</w:t>
      </w:r>
    </w:p>
    <w:p>
      <w:pPr>
        <w:spacing w:before="0" w:after="0" w:line="408" w:lineRule="exact"/>
        <w:ind w:left="0" w:right="0" w:firstLine="576"/>
        <w:jc w:val="left"/>
      </w:pPr>
      <w:r>
        <w:rPr/>
        <w:t xml:space="preserve">(2) The director, after consultation with the exchange, shall conduct procurement negotiations with health carriers and selectively contract with a health carrier or carriers to offer a qualified health plan or plans that offer the optimal combination of choice, affordability, quality, and service. A health carrier contracting with the authority under this section may offer a qualified health plan or plans in a single county or multiple counties. The goal of the procurement conducted under this section is to have health carriers contracting with the authority under this section offering at least one qualified health plan in every county in the state.</w:t>
      </w:r>
    </w:p>
    <w:p>
      <w:pPr>
        <w:spacing w:before="0" w:after="0" w:line="408" w:lineRule="exact"/>
        <w:ind w:left="0" w:right="0" w:firstLine="576"/>
        <w:jc w:val="left"/>
      </w:pPr>
      <w:r>
        <w:rPr/>
        <w:t xml:space="preserve">(3)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health benefit exchange, in consultation with the health care authority and the insurance commissioner, must develop a plan to implement and fund premium subsidies for individuals whose modified adjusted gross incomes are less than five hundred percent of the federal poverty level and who are purchasing individual market coverage on the exchange. The goal of the plan is to enable participating individuals to spend no more than ten percent of their modified adjusted gross incomes on premiums. The plan must also include an assessment of providing cost-sharing reductions to plan participants.</w:t>
      </w:r>
    </w:p>
    <w:p>
      <w:pPr>
        <w:spacing w:before="0" w:after="0" w:line="408" w:lineRule="exact"/>
        <w:ind w:left="0" w:right="0" w:firstLine="576"/>
        <w:jc w:val="left"/>
      </w:pPr>
      <w:r>
        <w:rPr/>
        <w:t xml:space="preserve">(2) The Washington health benefit exchange must submit the plan, along with proposed implementing legislation, to the appropriate committees of the legislature by November 15, 2020.</w:t>
      </w:r>
    </w:p>
    <w:p>
      <w:pPr>
        <w:spacing w:before="0" w:after="0" w:line="408" w:lineRule="exact"/>
        <w:ind w:left="0" w:right="0" w:firstLine="576"/>
        <w:jc w:val="left"/>
      </w:pPr>
      <w:r>
        <w:rPr/>
        <w:t xml:space="preserve">(3)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shall submit an annual report to the appropriate committees of the legislature on the number of health plans available per county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that the Insurance Commissioner review proposed standardized plans. Removes the requirement that Health Care Authority (HCA)-contracted qualified health plans (QHPs) reimburse critical access hospitals and sole community hospitals at 101% of allowable costs. Removes the requirement that the HCA consider factors proposed by health carriers with the goal of reducing premiums below 2019 levels. Requires HCA-contracted QHPs to pay fee for service provider rates that do not exceed Medicare rates for the same or similar covered service in the same or similar geographic area; for nonfee-for-service methodologies, the aggregate provider reimbursement amount may not exceed the equivalent of the aggregate amount the QHP would have reimbursed using fee-for-service rates. Requires a HCA-contracted QHP to have a 90% actuarial value. Allows a carrier contracting with the HCA to offer health plans in a single county or in multiple counties.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2c42b5a8f14fea" /></Relationships>
</file>