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6f33b94334028" /></Relationships>
</file>

<file path=word/document.xml><?xml version="1.0" encoding="utf-8"?>
<w:document xmlns:w="http://schemas.openxmlformats.org/wordprocessingml/2006/main">
  <w:body>
    <w:p>
      <w:r>
        <w:rPr>
          <w:b/>
        </w:rPr>
        <w:r>
          <w:rPr/>
          <w:t xml:space="preserve">5723-S</w:t>
        </w:r>
      </w:r>
      <w:r>
        <w:rPr>
          <w:b/>
        </w:rPr>
        <w:t xml:space="preserve"> </w:t>
        <w:t xml:space="preserve">AMH</w:t>
      </w:r>
      <w:r>
        <w:rPr>
          <w:b/>
        </w:rPr>
        <w:t xml:space="preserve"> </w:t>
        <w:r>
          <w:rPr/>
          <w:t xml:space="preserve">YOUN</w:t>
        </w:r>
      </w:r>
      <w:r>
        <w:rPr>
          <w:b/>
        </w:rPr>
        <w:t xml:space="preserve"> </w:t>
        <w:r>
          <w:rPr/>
          <w:t xml:space="preserve">H2865.1</w:t>
        </w:r>
      </w:r>
      <w:r>
        <w:rPr>
          <w:b/>
        </w:rPr>
        <w:t xml:space="preserve"> - NOT FOR FLOOR USE</w:t>
      </w:r>
    </w:p>
    <w:p>
      <w:pPr>
        <w:ind w:left="0" w:right="0" w:firstLine="576"/>
      </w:pPr>
    </w:p>
    <w:p>
      <w:pPr>
        <w:spacing w:before="480" w:after="0" w:line="408" w:lineRule="exact"/>
      </w:pPr>
      <w:r>
        <w:rPr>
          <w:b/>
          <w:u w:val="single"/>
        </w:rPr>
        <w:t xml:space="preserve">SSB 5723</w:t>
      </w:r>
      <w:r>
        <w:t xml:space="preserve"> -</w:t>
      </w:r>
      <w:r>
        <w:t xml:space="preserve"> </w:t>
        <w:t xml:space="preserve">H AMD</w:t>
      </w:r>
      <w:r>
        <w:t xml:space="preserve"> </w:t>
      </w:r>
      <w:r>
        <w:rPr>
          <w:b/>
        </w:rPr>
        <w:t xml:space="preserve">525</w:t>
      </w:r>
    </w:p>
    <w:p>
      <w:pPr>
        <w:spacing w:before="0" w:after="0" w:line="408" w:lineRule="exact"/>
        <w:ind w:left="0" w:right="0" w:firstLine="576"/>
        <w:jc w:val="left"/>
      </w:pPr>
      <w:r>
        <w:rPr/>
        <w:t xml:space="preserve">By Representative Young</w:t>
      </w:r>
    </w:p>
    <w:p>
      <w:pPr>
        <w:jc w:val="right"/>
      </w:pPr>
      <w:r>
        <w:rPr>
          <w:b/>
        </w:rPr>
        <w:t xml:space="preserve">OUT OF ORDER 04/09/2019</w:t>
      </w:r>
    </w:p>
    <w:p>
      <w:pPr>
        <w:spacing w:before="0" w:after="0" w:line="408" w:lineRule="exact"/>
        <w:ind w:left="0" w:right="0" w:firstLine="576"/>
        <w:jc w:val="left"/>
      </w:pPr>
      <w:r>
        <w:rPr/>
        <w:t xml:space="preserve">On page 2, line 23,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3, line 21,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4, line 20,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5, line 17,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6, line 1,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7, line 9,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7, line 28, after "</w:t>
      </w:r>
      <w:r>
        <w:rPr>
          <w:u w:val="single"/>
        </w:rPr>
        <w:t xml:space="preserve">indigent</w:t>
      </w:r>
      <w:r>
        <w:rPr/>
        <w:t xml:space="preserve">" insert "</w:t>
      </w:r>
      <w:r>
        <w:rPr>
          <w:u w:val="single"/>
        </w:rPr>
        <w:t xml:space="preserve">or the penalty is waived under RCW 46.63.070(7)</w:t>
      </w:r>
      <w:r>
        <w:rPr/>
        <w:t xml:space="preserve">"</w:t>
      </w:r>
    </w:p>
    <w:p>
      <w:pPr>
        <w:spacing w:before="0" w:after="0" w:line="408" w:lineRule="exact"/>
        <w:ind w:left="0" w:right="0" w:firstLine="576"/>
        <w:jc w:val="left"/>
      </w:pPr>
      <w:r>
        <w:rPr/>
        <w:t xml:space="preserve">On page 10, after line 31,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fifteen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0" w:after="0" w:line="408" w:lineRule="exact"/>
        <w:ind w:left="0" w:right="0" w:firstLine="576"/>
        <w:jc w:val="left"/>
      </w:pPr>
      <w:r>
        <w:rPr>
          <w:u w:val="single"/>
        </w:rPr>
        <w:t xml:space="preserve">(7) If the person determined to have committed the infraction wishes to explain mitigating circumstances in accordance with the requirements of subsection (4) of this section and one of the mitigating circumstances is that this infraction is the first infraction committed within the court's jurisdiction for which the person received the additional penalty under RCW 46.61.145, 46.61.180, 46.61.185, 46.61.190, or 46.61.205, the court shall waive the additional penalty in hearings conducted under subsections (3) and (4) of this section.</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Mandates that a judge waive the additional fine for improper overtaking and passing, following too closely, and failure to stop or yield traffic infractions at a hearing requested by the person determined to have committed the infraction when the person presents as a mitigating circumstance that the infraction is the first infraction the person committed within the court's jurisdiction for which he or she received the additional penalty.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3429d387d4d11" /></Relationships>
</file>