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3dbc2b25941a2" /></Relationships>
</file>

<file path=word/document.xml><?xml version="1.0" encoding="utf-8"?>
<w:document xmlns:w="http://schemas.openxmlformats.org/wordprocessingml/2006/main">
  <w:body>
    <w:p>
      <w:r>
        <w:rPr>
          <w:b/>
        </w:rPr>
        <w:r>
          <w:rPr/>
          <w:t xml:space="preserve">5741-S.E</w:t>
        </w:r>
      </w:r>
      <w:r>
        <w:rPr>
          <w:b/>
        </w:rPr>
        <w:t xml:space="preserve"> </w:t>
        <w:t xml:space="preserve">AMH</w:t>
      </w:r>
      <w:r>
        <w:rPr>
          <w:b/>
        </w:rPr>
        <w:t xml:space="preserve"> </w:t>
        <w:r>
          <w:rPr/>
          <w:t xml:space="preserve">ITED</w:t>
        </w:r>
      </w:r>
      <w:r>
        <w:rPr>
          <w:b/>
        </w:rPr>
        <w:t xml:space="preserve"> </w:t>
        <w:r>
          <w:rPr/>
          <w:t xml:space="preserve">H2578.1</w:t>
        </w:r>
      </w:r>
      <w:r>
        <w:rPr>
          <w:b/>
        </w:rPr>
        <w:t xml:space="preserve"> - NOT FOR FLOOR USE</w:t>
      </w:r>
    </w:p>
    <w:p>
      <w:pPr>
        <w:ind w:left="0" w:right="0" w:firstLine="576"/>
      </w:pPr>
      <w:r>
        <w:rPr/>
        <w:t xml:space="preserve"> </w:t>
      </w:r>
    </w:p>
    <w:p>
      <w:pPr>
        <w:spacing w:before="480" w:after="0" w:line="408" w:lineRule="exact"/>
      </w:pPr>
      <w:r>
        <w:rPr>
          <w:b/>
          <w:u w:val="single"/>
        </w:rPr>
        <w:t xml:space="preserve">ESSB 5741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NOT CONSIDERED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(c)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(c)(i)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Senate Bill and restores the provisions of Second Substitute House Bill No. 1776, resulting in the following changes:</w:t>
      </w:r>
    </w:p>
    <w:p>
      <w:pPr>
        <w:spacing w:before="0" w:after="0" w:line="408" w:lineRule="exact"/>
        <w:ind w:left="0" w:right="0" w:firstLine="576"/>
        <w:jc w:val="left"/>
      </w:pPr>
      <w:r>
        <w:rPr/>
        <w:t xml:space="preserve">(1) Adds a requirement for the Washington State Health Care Authority (HCA) to choose a lead organization from among the best potential bidders.</w:t>
      </w:r>
    </w:p>
    <w:p>
      <w:pPr>
        <w:spacing w:before="0" w:after="0" w:line="408" w:lineRule="exact"/>
        <w:ind w:left="0" w:right="0" w:firstLine="576"/>
        <w:jc w:val="left"/>
      </w:pPr>
      <w:r>
        <w:rPr/>
        <w:t xml:space="preserve">(2) Prohibits the Health Care Authority from selecting a lead organization that is, or has a controlling interest in, a health plan, hospital, health care provider, or certain third-party administrators working on behalf of a health care purchaser or health insurer.</w:t>
      </w:r>
    </w:p>
    <w:p>
      <w:pPr>
        <w:spacing w:before="0" w:after="0" w:line="408" w:lineRule="exact"/>
        <w:ind w:left="0" w:right="0" w:firstLine="576"/>
        <w:jc w:val="left"/>
      </w:pPr>
      <w:r>
        <w:rPr/>
        <w:t xml:space="preserve">(3) Removes the requirement that the HCA must ensure no state officer or state employee participating in the procurement process: (a) Has a conflict with the proper discharge of their duties; or (b) is a member of a bidding organization's board of directors, advisory committee, or similar group.</w:t>
      </w:r>
    </w:p>
    <w:p>
      <w:pPr>
        <w:spacing w:before="0" w:after="0" w:line="408" w:lineRule="exact"/>
        <w:ind w:left="0" w:right="0" w:firstLine="576"/>
        <w:jc w:val="left"/>
      </w:pPr>
      <w:r>
        <w:rPr/>
        <w:t xml:space="preserve">(4) Adds a requirement that the HCA give preference to lead organization applicants that have experience working with health providers, carriers, and self-insured purchasers in the state.</w:t>
      </w:r>
    </w:p>
    <w:p>
      <w:pPr>
        <w:spacing w:before="0" w:after="0" w:line="408" w:lineRule="exact"/>
        <w:ind w:left="0" w:right="0" w:firstLine="576"/>
        <w:jc w:val="left"/>
      </w:pPr>
      <w:r>
        <w:rPr/>
        <w:t xml:space="preserve">(5) Removes a provision that claims data collected in the database is owned by the state.</w:t>
      </w:r>
    </w:p>
    <w:p>
      <w:pPr>
        <w:spacing w:before="0" w:after="0" w:line="408" w:lineRule="exact"/>
        <w:ind w:left="0" w:right="0" w:firstLine="576"/>
        <w:jc w:val="left"/>
      </w:pPr>
      <w:r>
        <w:rPr/>
        <w:t xml:space="preserve">(6) Removes a requirement that the lead organization may not publish any Medicaid data that is in conflict with the biannual Medicaid forecast.</w:t>
      </w:r>
    </w:p>
    <w:p>
      <w:pPr>
        <w:spacing w:before="0" w:after="0" w:line="408" w:lineRule="exact"/>
        <w:ind w:left="0" w:right="0" w:firstLine="576"/>
        <w:jc w:val="left"/>
      </w:pPr>
      <w:r>
        <w:rPr/>
        <w:t xml:space="preserve">(7) Removes the July 1, 2020, start date for the School Employees Benefits Board to begin providing data to the database.</w:t>
      </w:r>
    </w:p>
    <w:p>
      <w:pPr>
        <w:spacing w:before="0" w:after="0" w:line="408" w:lineRule="exact"/>
        <w:ind w:left="0" w:right="0" w:firstLine="576"/>
        <w:jc w:val="left"/>
      </w:pPr>
      <w:r>
        <w:rPr/>
        <w:t xml:space="preserve">(8) Removes a requirement that the lead organization and the HCA must provide any person or entity with a signed data use agreement in effect on June 1, 2019, with an option to extend the agreement through June 30, 2020.</w:t>
      </w:r>
    </w:p>
    <w:p>
      <w:pPr>
        <w:spacing w:before="0" w:after="0" w:line="408" w:lineRule="exact"/>
        <w:ind w:left="0" w:right="0" w:firstLine="576"/>
        <w:jc w:val="left"/>
      </w:pPr>
      <w:r>
        <w:rPr/>
        <w:t xml:space="preserve">(9) Removes the provision that includes Accountable Communities of Health as a partner that the state agency coordinating structure must collaborate with.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4d90d6ef142f6" /></Relationships>
</file>