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423985c7741e0"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JENK</w:t>
        </w:r>
      </w:r>
      <w:r>
        <w:rPr>
          <w:b/>
        </w:rPr>
        <w:t xml:space="preserve"> </w:t>
        <w:r>
          <w:rPr/>
          <w:t xml:space="preserve">H3130.1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w:t>
      </w:r>
      <w:r>
        <w:t xml:space="preserve"> </w:t>
      </w:r>
      <w:r>
        <w:rPr>
          <w:b/>
        </w:rPr>
        <w:t xml:space="preserve">895</w:t>
      </w:r>
    </w:p>
    <w:p>
      <w:pPr>
        <w:spacing w:before="0" w:after="0" w:line="408" w:lineRule="exact"/>
        <w:ind w:left="0" w:right="0" w:firstLine="576"/>
        <w:jc w:val="left"/>
      </w:pPr>
      <w:r>
        <w:rPr/>
        <w:t xml:space="preserve">By Representative Jenkin</w:t>
      </w:r>
    </w:p>
    <w:p>
      <w:pPr>
        <w:jc w:val="right"/>
      </w:pPr>
      <w:r>
        <w:rPr>
          <w:b/>
        </w:rPr>
        <w:t xml:space="preserve">WITHDRAWN 04/27/2019</w:t>
      </w:r>
    </w:p>
    <w:p>
      <w:pPr>
        <w:spacing w:before="0" w:after="0" w:line="408" w:lineRule="exact"/>
        <w:ind w:left="0" w:right="0" w:firstLine="576"/>
        <w:jc w:val="left"/>
      </w:pPr>
      <w:r>
        <w:rPr/>
        <w:t xml:space="preserve">On page 9, after line 24,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0" w:after="0" w:line="408" w:lineRule="exact"/>
        <w:ind w:left="0" w:right="0" w:firstLine="576"/>
        <w:jc w:val="left"/>
      </w:pPr>
      <w:r>
        <w:rPr>
          <w:u w:val="single"/>
        </w:rPr>
        <w:t xml:space="preserve">(7) Any possession of petroleum products subsequently exported from or sold for export from the state.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exported petroleum products from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7a3d1eaa94c29" /></Relationships>
</file>