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03547766e4a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H4604.1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299</w:t>
      </w:r>
      <w:r>
        <w:rPr/>
        <w:t xml:space="preserve"> (Workforce education investment surcharges) and 2019 c 406 s 74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applies both prospectively and retroactively to January 1, 2020.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Workforce Education Investment Act surcharges retroactively to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a2eff516d4ca9" /></Relationships>
</file>