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c93feaca5446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H4608.1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Any health care provider who receives medicaid reimbursement, until the state provides a medicaid reimbursement rate that is equal to the cost of the health care services provided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health care providers an exemption from the new 1.75 percent business and occupation tax rate until the state fully funds Medicaid reimbursement rates.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f92bfd23a4544" /></Relationships>
</file>