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6594f5d814132"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HLTC</w:t>
        </w:r>
      </w:r>
      <w:r>
        <w:rPr>
          <w:b/>
        </w:rPr>
        <w:t xml:space="preserve"> </w:t>
        <w:r>
          <w:rPr/>
          <w:t xml:space="preserve">S3352.1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 and</w:t>
      </w:r>
    </w:p>
    <w:p>
      <w:pPr>
        <w:spacing w:before="0" w:after="0" w:line="408" w:lineRule="exact"/>
        <w:ind w:left="0" w:right="0" w:firstLine="576"/>
        <w:jc w:val="left"/>
      </w:pPr>
      <w:r>
        <w:rPr/>
        <w:t xml:space="preserve">(d) Long-term care health status data is collected across all home and community-based settings.</w:t>
      </w:r>
    </w:p>
    <w:p>
      <w:pPr>
        <w:spacing w:before="0" w:after="0" w:line="408" w:lineRule="exact"/>
        <w:ind w:left="0" w:right="0" w:firstLine="576"/>
        <w:jc w:val="left"/>
      </w:pPr>
      <w:r>
        <w:rPr/>
        <w:t xml:space="preserve">(10)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increasing at a three percent index subject to annual commission approval, paid by the department of social and health services to a long-term services and supports provider as reimbursement for approved services provided to an eligible beneficiary on a specific date.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(6) "Employee" has the meaning provided in RCW 50A.04.010.</w:t>
      </w:r>
    </w:p>
    <w:p>
      <w:pPr>
        <w:spacing w:before="0" w:after="0" w:line="408" w:lineRule="exact"/>
        <w:ind w:left="0" w:right="0" w:firstLine="576"/>
        <w:jc w:val="left"/>
      </w:pPr>
      <w:r>
        <w:rPr/>
        <w:t xml:space="preserve">(7) "Employer" has the meaning provided in RCW 50A.04.010.</w:t>
      </w:r>
    </w:p>
    <w:p>
      <w:pPr>
        <w:spacing w:before="0" w:after="0" w:line="408" w:lineRule="exact"/>
        <w:ind w:left="0" w:right="0" w:firstLine="576"/>
        <w:jc w:val="left"/>
      </w:pPr>
      <w:r>
        <w:rPr/>
        <w:t xml:space="preserve">(8) "Employment" has the meaning provided in RCW 50A.04.010.</w:t>
      </w:r>
    </w:p>
    <w:p>
      <w:pPr>
        <w:spacing w:before="0" w:after="0" w:line="408" w:lineRule="exact"/>
        <w:ind w:left="0" w:right="0" w:firstLine="576"/>
        <w:jc w:val="left"/>
      </w:pPr>
      <w:r>
        <w:rPr/>
        <w:t xml:space="preserve">(9)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(10) "Premium" or "premiums" means the payments required by section 8 of this act and paid to the employment security department for deposit in the account created in section 10 of this act.</w:t>
      </w:r>
    </w:p>
    <w:p>
      <w:pPr>
        <w:spacing w:before="0" w:after="0" w:line="408" w:lineRule="exact"/>
        <w:ind w:left="0" w:right="0" w:firstLine="576"/>
        <w:jc w:val="left"/>
      </w:pPr>
      <w:r>
        <w:rPr/>
        <w:t xml:space="preserve">(11) "Program" means the long-term services and supports trust program established in this chapter.</w:t>
      </w:r>
    </w:p>
    <w:p>
      <w:pPr>
        <w:spacing w:before="0" w:after="0" w:line="408" w:lineRule="exact"/>
        <w:ind w:left="0" w:right="0" w:firstLine="576"/>
        <w:jc w:val="left"/>
      </w:pPr>
      <w:r>
        <w:rPr/>
        <w:t xml:space="preserve">(12)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(13) "Qualified individual" means an individual who meets the duration of payment requirements, as established in this chapter.</w:t>
      </w:r>
    </w:p>
    <w:p>
      <w:pPr>
        <w:spacing w:before="0" w:after="0" w:line="408" w:lineRule="exact"/>
        <w:ind w:left="0" w:right="0" w:firstLine="576"/>
        <w:jc w:val="left"/>
      </w:pPr>
      <w:r>
        <w:rPr/>
        <w:t xml:space="preserve">(14) "Wages" has the meaning provided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7 of this act;</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7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8 of this act in coordination with the same activities conducted under the family and medical leave act, chapter 50A.04 RCW, to the extent possible;</w:t>
      </w:r>
    </w:p>
    <w:p>
      <w:pPr>
        <w:spacing w:before="0" w:after="0" w:line="408" w:lineRule="exact"/>
        <w:ind w:left="0" w:right="0" w:firstLine="576"/>
        <w:jc w:val="left"/>
      </w:pPr>
      <w:r>
        <w:rPr/>
        <w:t xml:space="preserve">(d) Make determinations regarding an individual's status as a qualified individual under section 5 of this act;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section 8 of this act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section 8 of this act.</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The annual adjustment of the benefit unit in accordance with the formula established in section 2 of this act;</w:t>
      </w:r>
    </w:p>
    <w:p>
      <w:pPr>
        <w:spacing w:before="0" w:after="0" w:line="408" w:lineRule="exact"/>
        <w:ind w:left="0" w:right="0" w:firstLine="576"/>
        <w:jc w:val="left"/>
      </w:pPr>
      <w:r>
        <w:rPr/>
        <w:t xml:space="preserve">(f) The preparation of regular actuarial reports on the solvency and financial status of the program and advising the legislature on actions necessary to maintain trust solvency; and</w:t>
      </w:r>
    </w:p>
    <w:p>
      <w:pPr>
        <w:spacing w:before="0" w:after="0" w:line="408" w:lineRule="exact"/>
        <w:ind w:left="0" w:right="0" w:firstLine="576"/>
        <w:jc w:val="left"/>
      </w:pPr>
      <w:r>
        <w:rPr/>
        <w:t xml:space="preserve">(g)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deem a person to be a qualified individual as provided in this chapter if the person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two hundred eight hours during each of the ten years in subsection (1)(a) of this section and each of the three years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premium is fifty-eight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section 10 of this act.</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custody of the state treasurer. All receipts from employers under section 8 of this act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have the state investment board invest the funds in the account. The state investment board has the full power to invest, reinvest, manage, contract, sell, or exchange investment money in the account.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other than the investment policies as provided in subsections (1) through (3) of this section, resides with the department of social and health services acting in accordance with the principles set forth in this chapter. With the exception of expenses of the state investment board under subsection (1) of this section, disbursements from the account shall be made only on the authorization of the department of social and health services or its designee, and moneys in the account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department of social and health services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or resources for any determinations of eligibility for any other state program or benefit, for medicaid, for a state-federal program, or for any other means-tested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 entitlement for a person to receive, or requires a state agency to provide, case management services including, but not limited to, case management services under chapter 74.39A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By December 1, 2032, the joint legislative audit and review committee must report on the performance of the long-term services and supports trust commission established in section 4 of this act in providing oversight to the long-term services and supports trust program and make recommendations to the legislature on ways to improve the functioning, efficiency, and membership, as well as whether the long-term services and supports trust commission should continue to exist or should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50A.--- RCW (the new chapter created in section 21 of this act),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50A.--- RCW (the new chapter created in section 21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long-term services and supports trust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a new title to be codified as Title 50B RCW."</w:t>
      </w:r>
    </w:p>
    <w:p>
      <w:pPr>
        <w:spacing w:before="480" w:after="0" w:line="408" w:lineRule="exact"/>
      </w:pPr>
      <w:r>
        <w:rPr>
          <w:b/>
          <w:u w:val="single"/>
        </w:rPr>
        <w:t xml:space="preserve">2SHB 1087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04/16/2019</w:t>
      </w:r>
    </w:p>
    <w:p>
      <w:pPr>
        <w:spacing w:before="0" w:after="0" w:line="408" w:lineRule="exact"/>
        <w:ind w:left="0" w:right="0" w:firstLine="576"/>
        <w:jc w:val="left"/>
      </w:pPr>
      <w:r>
        <w:rPr/>
        <w:t xml:space="preserve">On page 1, line 1 of the title, after "supports;" strike the remainder of the title and insert "amending RCW 74.39A.076 and 18.88B.041; reenacting and amending RCW 43.79A.040; adding a new section to chapter 44.28 RCW; and adding a new title to the Revised Code of Washington to be codified as Title 50B RCW."</w:t>
      </w:r>
    </w:p>
    <w:p>
      <w:pPr>
        <w:spacing w:before="0" w:after="0" w:line="408" w:lineRule="exact"/>
        <w:ind w:left="0" w:right="0" w:firstLine="576"/>
        <w:jc w:val="left"/>
      </w:pPr>
      <w:r>
        <w:rPr>
          <w:u w:val="single"/>
        </w:rPr>
        <w:t xml:space="preserve">EFFECT:</w:t>
      </w:r>
      <w:r>
        <w:rPr/>
        <w:t xml:space="preserve"> (1) Makes a technical correction so that the eligibility requirements to access the benefit are consistent throughout the bill.</w:t>
      </w:r>
    </w:p>
    <w:p>
      <w:pPr>
        <w:spacing w:before="0" w:after="0" w:line="408" w:lineRule="exact"/>
        <w:ind w:left="0" w:right="0" w:firstLine="576"/>
        <w:jc w:val="left"/>
      </w:pPr>
      <w:r>
        <w:rPr/>
        <w:t xml:space="preserve">(2) Codifies the long-term services and supports trust program in a new title rather than in the Family and Medical Leave Program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3ab3bab3f455a" /></Relationships>
</file>