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18e42aa244c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S3934.1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1195</w:t>
      </w:r>
      <w:r>
        <w:t xml:space="preserve"> -</w:t>
      </w:r>
      <w:r>
        <w:t xml:space="preserve"> </w:t>
        <w:t xml:space="preserve">S AMD TO SGTE COMM AMD (S-3365.1/19)</w:t>
      </w:r>
      <w:r>
        <w:t xml:space="preserve"> </w:t>
      </w:r>
      <w:r>
        <w:rPr>
          <w:b/>
        </w:rPr>
        <w:t xml:space="preserve">636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68, line 24, after "</w:t>
      </w:r>
      <w:r>
        <w:rPr>
          <w:strike/>
        </w:rPr>
        <w:t xml:space="preserve">chapter</w:t>
      </w:r>
      <w:r>
        <w:rPr/>
        <w:t xml:space="preserve">))" strike "</w:t>
      </w:r>
      <w:r>
        <w:rPr>
          <w:u w:val="single"/>
        </w:rPr>
        <w:t xml:space="preserve">. Publication of the decision within the forty-five day period, or ten-day period, whichever is applicable, shall preclude a citizen's action pursuant to RCW 42.17A.775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69, beginning on line 37, after "</w:t>
      </w:r>
      <w:r>
        <w:rPr>
          <w:u w:val="single"/>
        </w:rPr>
        <w:t xml:space="preserve">action</w:t>
      </w:r>
      <w:r>
        <w:rPr/>
        <w:t xml:space="preserve">" strike all material through "</w:t>
      </w:r>
      <w:r>
        <w:rPr>
          <w:u w:val="single"/>
        </w:rPr>
        <w:t xml:space="preserve">notice</w:t>
      </w:r>
      <w:r>
        <w:rPr/>
        <w:t xml:space="preserve">" on line 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70, line 3, after "action" strike "</w:t>
      </w:r>
      <w:r>
        <w:rPr>
          <w:u w:val="single"/>
        </w:rPr>
        <w:t xml:space="preserve">, or published a decision whether to commence an action pursuant to RCW 42.17A.765(1)(b),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70, line 17, after "action" strike "</w:t>
      </w:r>
      <w:r>
        <w:rPr>
          <w:u w:val="single"/>
        </w:rPr>
        <w:t xml:space="preserve">or publish a decision whether to commence an action pursuant to RCW 42.17A.765(1)(b)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Retains the ability to file a citizen's action complaint for an alleged violation of chapter 42.17A RCW if the Attorney General's Office does not commence an action within its 10- or 45-day window.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6249a179c4640" /></Relationships>
</file>