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93a4ad85445ae" /></Relationships>
</file>

<file path=word/document.xml><?xml version="1.0" encoding="utf-8"?>
<w:document xmlns:w="http://schemas.openxmlformats.org/wordprocessingml/2006/main">
  <w:body>
    <w:p>
      <w:r>
        <w:rPr>
          <w:b/>
        </w:rPr>
        <w:r>
          <w:rPr/>
          <w:t xml:space="preserve">1224-S2.E</w:t>
        </w:r>
      </w:r>
      <w:r>
        <w:rPr>
          <w:b/>
        </w:rPr>
        <w:t xml:space="preserve"> </w:t>
        <w:t xml:space="preserve">AMS</w:t>
      </w:r>
      <w:r>
        <w:rPr>
          <w:b/>
        </w:rPr>
        <w:t xml:space="preserve"> </w:t>
        <w:r>
          <w:rPr/>
          <w:t xml:space="preserve">ENGR</w:t>
        </w:r>
      </w:r>
      <w:r>
        <w:rPr>
          <w:b/>
        </w:rPr>
        <w:t xml:space="preserve"> </w:t>
        <w:r>
          <w:rPr/>
          <w:t xml:space="preserve">S4203.E</w:t>
        </w:r>
      </w:r>
      <w:r>
        <w:rPr>
          <w:b/>
        </w:rPr>
        <w:t xml:space="preserve"> - NOT FOR FLOOR USE</w:t>
      </w:r>
    </w:p>
    <w:p>
      <w:pPr>
        <w:ind w:left="0" w:right="0" w:firstLine="576"/>
      </w:pPr>
    </w:p>
    <w:p>
      <w:pPr>
        <w:spacing w:before="480" w:after="0" w:line="408" w:lineRule="exact"/>
      </w:pPr>
      <w:r>
        <w:rPr>
          <w:b/>
          <w:u w:val="single"/>
        </w:rPr>
        <w:t xml:space="preserve">E2SHB 1224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Rivers</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retained rebate percentage" means the percentage of all rebates received by a pharmacy benefit manager from all pharmaceutical manufacturers which is not passed on to the pharmacy benefit manager's health carrier clients. An aggregate retained rebate percentage must be expressed without disclosing any identifying information regarding any health plan, prescription drug, or therapeutic class, and must be calculated by dividing:</w:t>
      </w:r>
    </w:p>
    <w:p>
      <w:pPr>
        <w:spacing w:before="0" w:after="0" w:line="408" w:lineRule="exact"/>
        <w:ind w:left="0" w:right="0" w:firstLine="576"/>
        <w:jc w:val="left"/>
      </w:pPr>
      <w:r>
        <w:rPr/>
        <w:t xml:space="preserve">(a) The aggregate dollar amount of all rebates that the pharmacy benefit manager received during the prior calendar year from all pharmaceutical manufacturers and did not pass through to the pharmacy benefit manager's health carrier clients; by</w:t>
      </w:r>
    </w:p>
    <w:p>
      <w:pPr>
        <w:spacing w:before="0" w:after="0" w:line="408" w:lineRule="exact"/>
        <w:ind w:left="0" w:right="0" w:firstLine="576"/>
        <w:jc w:val="left"/>
      </w:pPr>
      <w:r>
        <w:rPr/>
        <w:t xml:space="preserve">(b) The aggregate dollar amount of all rebates that the pharmacy benefit manager received during the prior calendar year from all pharmaceutical manufacturers.</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the effective date of this section,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(4)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(5) "Health care provider," "health plan," "health carrier,"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"Qualifying price increase" means a price increase described in subsection (3)(b)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authority the following prescription drug data for the previous calendar year:</w:t>
      </w:r>
    </w:p>
    <w:p>
      <w:pPr>
        <w:spacing w:before="0" w:after="0" w:line="408" w:lineRule="exact"/>
        <w:ind w:left="0" w:right="0" w:firstLine="576"/>
        <w:jc w:val="left"/>
      </w:pPr>
      <w:r>
        <w:rPr/>
        <w:t xml:space="preserve">(1) The aggregate dollar amount of all rebates and fees received from pharmaceutical manufacturers for prescription drugs that were covered by the pharmacy benefit manager's health carrier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and fees received by the pharmacy benefit manager from pharmaceutical manufacturers that are not passed through to the health carrier clients; and</w:t>
      </w:r>
    </w:p>
    <w:p>
      <w:pPr>
        <w:spacing w:before="0" w:after="0" w:line="408" w:lineRule="exact"/>
        <w:ind w:left="0" w:right="0" w:firstLine="576"/>
        <w:jc w:val="left"/>
      </w:pPr>
      <w:r>
        <w:rPr/>
        <w:t xml:space="preserve">(3) The aggregate retained rebate percentage.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practicable sixty days before the price increase, that submission must be made as soon as practicable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 and is considered a trade secret as defined in RCW 19.108.010.</w:t>
      </w:r>
    </w:p>
    <w:p>
      <w:pPr>
        <w:spacing w:before="0" w:after="0" w:line="408" w:lineRule="exact"/>
        <w:ind w:left="0" w:right="0" w:firstLine="576"/>
        <w:jc w:val="left"/>
      </w:pPr>
      <w:r>
        <w:rPr/>
        <w:t xml:space="preserve">(8) A manufacturer must make available to patients and prescribing health care providers information concerning financial assistance programs offered to patients by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PRICE INCREASES.</w:t>
      </w:r>
      <w:r>
        <w:t xml:space="preserve">  </w:t>
      </w:r>
      <w:r>
        <w:rPr/>
        <w:t xml:space="preserve">(1) Beginning October 1, 2019,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practicable sixty days before the price increase, that submission must be made as soon as practicable but not later than the date of the price increase.</w:t>
      </w:r>
    </w:p>
    <w:p>
      <w:pPr>
        <w:spacing w:before="0" w:after="0" w:line="408" w:lineRule="exact"/>
        <w:ind w:left="0" w:right="0" w:firstLine="576"/>
        <w:jc w:val="left"/>
      </w:pPr>
      <w:r>
        <w:rPr/>
        <w:t xml:space="preserve">(3) The information submitted pursuant to this section shall not be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under sections 3, 4, 5, and 8 of this act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 Data submitted under sections 3, 4, 5, and 8 of this act may not be released in any manner that has the potential to compromise the financial, competitive, confidential, or proprietary nature of the data.</w:t>
      </w:r>
    </w:p>
    <w:p>
      <w:pPr>
        <w:spacing w:before="0" w:after="0" w:line="408" w:lineRule="exact"/>
        <w:ind w:left="0" w:right="0" w:firstLine="576"/>
        <w:jc w:val="left"/>
      </w:pPr>
      <w:r>
        <w:rPr/>
        <w:t xml:space="preserve">(3) Beginning January 1, 2020, and by each January 1st thereafter, the authority must publish the report on its web site.</w:t>
      </w:r>
    </w:p>
    <w:p>
      <w:pPr>
        <w:spacing w:before="0" w:after="0" w:line="408" w:lineRule="exact"/>
        <w:ind w:left="0" w:right="0" w:firstLine="576"/>
        <w:jc w:val="left"/>
      </w:pPr>
      <w:r>
        <w:rPr/>
        <w:t xml:space="preserve">(4) Except for the report, the authority shall keep confidential all of the information provided pursuant to sections 3, 4, 5, and 8 of this act, and analysis of that information. The information and analysis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8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1224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Rivers</w:t>
      </w:r>
    </w:p>
    <w:p>
      <w:pPr>
        <w:jc w:val="right"/>
      </w:pPr>
      <w:r>
        <w:rPr>
          <w:b/>
        </w:rPr>
        <w:t xml:space="preserve">ADOPTED 4/16/19</w:t>
      </w: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e144c8b0d4f03" /></Relationships>
</file>