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1a38a505d4d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S3615.1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</w:t>
      </w:r>
      <w:r>
        <w:rPr>
          <w:u w:val="single"/>
        </w:rPr>
        <w:t xml:space="preserve">tenant</w:t>
      </w:r>
      <w:r>
        <w:rPr/>
        <w:t xml:space="preserve">" insert "</w:t>
      </w:r>
      <w:r>
        <w:rPr>
          <w:u w:val="single"/>
        </w:rPr>
        <w:t xml:space="preserve">living solely on a fixed income including those receiving supplemental security income and social security disability insurance, earning below sixty percent area median income, or is sixty years of age or older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</w:t>
      </w:r>
      <w:r>
        <w:rPr>
          <w:u w:val="single"/>
        </w:rPr>
        <w:t xml:space="preserve">agreement.</w:t>
      </w:r>
      <w:r>
        <w:rPr/>
        <w:t xml:space="preserve">" insert "</w:t>
      </w:r>
      <w:r>
        <w:rPr>
          <w:u w:val="single"/>
        </w:rPr>
        <w:t xml:space="preserve">A landlord shall provide a minimum of thirty days prior written notice of an increase in the amount of rent to each affected tenant in all other circumstances.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sixty-day notice requirement to situations where the affected tenant is on a fixed income including SSI and SSDI, earns below sixty percent AMI, or is 60 or older. States the minimum notice requirement is thirty days in all other circumstances.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66dd1c863422d" /></Relationships>
</file>