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2b1a7505c44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S4168.1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1504</w:t>
      </w:r>
      <w:r>
        <w:t xml:space="preserve"> -</w:t>
      </w:r>
      <w:r>
        <w:t xml:space="preserve"> </w:t>
        <w:t xml:space="preserve">S AMD TO TRAN COMM AND (S-3935.3/19)</w:t>
      </w:r>
      <w:r>
        <w:t xml:space="preserve"> </w:t>
      </w:r>
      <w:r>
        <w:rPr>
          <w:b/>
        </w:rPr>
        <w:t xml:space="preserve">648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5, after "roadway." strike all material through "</w:t>
      </w:r>
      <w:r>
        <w:rPr>
          <w:u w:val="single"/>
        </w:rPr>
        <w:t xml:space="preserve">off</w:t>
      </w:r>
      <w:r>
        <w:rPr/>
        <w:t xml:space="preserve">" on line 12 and insert "</w:t>
      </w:r>
      <w:r>
        <w:rPr>
          <w:u w:val="single"/>
        </w:rPr>
        <w:t xml:space="preserve">Whether the vehicle is safely off the roadway is a fact specific determination for the trier of fact unless the vehicle is parked in an area designated for through traffic or in a place where motor vehicle traffic or parking is prohibited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"safely off the roadway" is a factual determination unless the vehicle is parked in a through traffic area or in a place where traffic and parking are prohibited.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6dac9cfc149e4" /></Relationships>
</file>