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ba5ab2b2349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S4213.1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673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12,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all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12, after "</w:t>
      </w:r>
      <w:r>
        <w:rPr>
          <w:u w:val="single"/>
        </w:rPr>
        <w:t xml:space="preserve">to the</w:t>
      </w:r>
      <w:r>
        <w:rPr/>
        <w:t xml:space="preserve">" strike "</w:t>
      </w:r>
      <w:r>
        <w:rPr>
          <w:u w:val="single"/>
        </w:rPr>
        <w:t xml:space="preserve">tenancy</w:t>
      </w:r>
      <w:r>
        <w:rPr/>
        <w:t xml:space="preserve">" and insert "</w:t>
      </w:r>
      <w:r>
        <w:rPr>
          <w:u w:val="single"/>
        </w:rPr>
        <w:t xml:space="preserve">rental agreement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 addition to copies of the rental agreement and rules and regulations, the landlord is required to provide a buyer documents related to the rental agreement, rather than all documents related to the tenancy.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bb55ceee04103" /></Relationships>
</file>